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4BCA76FA" w:rsidR="0095347C" w:rsidRPr="00717CED" w:rsidRDefault="009F0CA5" w:rsidP="003E1BD4">
      <w:pPr>
        <w:ind w:left="708" w:hanging="708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  <w:r w:rsidR="003E1BD4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</w:p>
    <w:p w14:paraId="578F6E56" w14:textId="1BDFAA16" w:rsidR="009F0CA5" w:rsidRPr="00791181" w:rsidRDefault="009F0CA5" w:rsidP="008132B5">
      <w:pPr>
        <w:rPr>
          <w:rFonts w:asciiTheme="majorHAnsi" w:hAnsiTheme="majorHAnsi" w:cstheme="majorHAnsi"/>
        </w:rPr>
      </w:pPr>
      <w:r w:rsidRPr="008132B5">
        <w:rPr>
          <w:rFonts w:asciiTheme="majorHAnsi" w:hAnsiTheme="majorHAnsi" w:cstheme="majorHAnsi"/>
        </w:rPr>
        <w:t>Metadatos del dataset</w:t>
      </w:r>
      <w:r w:rsidR="00B40B2E" w:rsidRPr="008132B5">
        <w:rPr>
          <w:rFonts w:asciiTheme="majorHAnsi" w:hAnsiTheme="majorHAnsi" w:cstheme="majorHAnsi"/>
        </w:rPr>
        <w:t xml:space="preserve">: </w:t>
      </w:r>
      <w:r w:rsidR="007975F1" w:rsidRPr="007975F1">
        <w:rPr>
          <w:rFonts w:asciiTheme="majorHAnsi" w:hAnsiTheme="majorHAnsi" w:cstheme="majorHAnsi"/>
        </w:rPr>
        <w:t>Puestos de trabajo registrados en el sector formal asalariado privado periodo</w:t>
      </w:r>
      <w:r w:rsidR="007975F1">
        <w:rPr>
          <w:rFonts w:asciiTheme="majorHAnsi" w:hAnsiTheme="majorHAnsi" w:cstheme="majorHAnsi"/>
        </w:rPr>
        <w:t xml:space="preserve"> primer semestre</w:t>
      </w:r>
      <w:r w:rsidR="007975F1" w:rsidRPr="007975F1">
        <w:rPr>
          <w:rFonts w:asciiTheme="majorHAnsi" w:hAnsiTheme="majorHAnsi" w:cstheme="majorHAnsi"/>
        </w:rPr>
        <w:t xml:space="preserve"> 2020</w:t>
      </w:r>
      <w:r w:rsidR="007975F1">
        <w:rPr>
          <w:rFonts w:asciiTheme="majorHAnsi" w:hAnsiTheme="majorHAnsi" w:cstheme="majorHAnsi"/>
        </w:rPr>
        <w:t xml:space="preserve"> al primer semestre </w:t>
      </w:r>
      <w:r w:rsidR="007975F1" w:rsidRPr="007975F1">
        <w:rPr>
          <w:rFonts w:asciiTheme="majorHAnsi" w:hAnsiTheme="majorHAnsi" w:cstheme="majorHAnsi"/>
        </w:rPr>
        <w:t>2023 - [Ministerio de Trabajo y Promoción del Empleo - MTPE]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4F1D9B" w:rsidRPr="00791181" w14:paraId="69725567" w14:textId="77777777" w:rsidTr="004F1D9B">
        <w:trPr>
          <w:trHeight w:val="257"/>
        </w:trPr>
        <w:tc>
          <w:tcPr>
            <w:tcW w:w="2263" w:type="dxa"/>
            <w:vAlign w:val="center"/>
          </w:tcPr>
          <w:p w14:paraId="53FAEF2F" w14:textId="70BB573E" w:rsidR="009F0CA5" w:rsidRPr="00791181" w:rsidRDefault="009F0CA5" w:rsidP="009F0C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9118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8193" w:type="dxa"/>
            <w:vAlign w:val="center"/>
          </w:tcPr>
          <w:p w14:paraId="5CB6BCB5" w14:textId="440802DE" w:rsidR="009F0CA5" w:rsidRPr="00791181" w:rsidRDefault="00673BC2" w:rsidP="00B40B2E">
            <w:pPr>
              <w:rPr>
                <w:rFonts w:asciiTheme="majorHAnsi" w:hAnsiTheme="majorHAnsi" w:cstheme="majorHAnsi"/>
              </w:rPr>
            </w:pPr>
            <w:r w:rsidRPr="00673BC2">
              <w:rPr>
                <w:rFonts w:asciiTheme="majorHAnsi" w:hAnsiTheme="majorHAnsi" w:cstheme="majorHAnsi"/>
              </w:rPr>
              <w:t>Puestos de trabajo registrados en el sector formal asalariado privado periodo primer semestre 2020 al primer semestre 2023 - [Ministerio de Trabajo y Promoción del Empleo - MTPE]</w:t>
            </w:r>
          </w:p>
        </w:tc>
      </w:tr>
      <w:tr w:rsidR="004F1D9B" w:rsidRPr="00791181" w14:paraId="5FF5725A" w14:textId="77777777" w:rsidTr="004F1D9B">
        <w:trPr>
          <w:trHeight w:val="696"/>
        </w:trPr>
        <w:tc>
          <w:tcPr>
            <w:tcW w:w="2263" w:type="dxa"/>
            <w:vAlign w:val="center"/>
          </w:tcPr>
          <w:p w14:paraId="62432E9A" w14:textId="5E0EE3ED" w:rsidR="009F0CA5" w:rsidRPr="00791181" w:rsidRDefault="009F0CA5" w:rsidP="009F0C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9118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8193" w:type="dxa"/>
            <w:vAlign w:val="center"/>
          </w:tcPr>
          <w:p w14:paraId="465FB026" w14:textId="3056B4F7" w:rsidR="009F0CA5" w:rsidRPr="00791181" w:rsidRDefault="00673BC2" w:rsidP="009F0CA5">
            <w:pPr>
              <w:rPr>
                <w:rFonts w:asciiTheme="majorHAnsi" w:hAnsiTheme="majorHAnsi" w:cstheme="majorHAnsi"/>
              </w:rPr>
            </w:pPr>
            <w:hyperlink r:id="rId6" w:history="1">
              <w:r w:rsidRPr="007F2121">
                <w:rPr>
                  <w:rStyle w:val="Hipervnculo"/>
                  <w:rFonts w:asciiTheme="majorHAnsi" w:hAnsiTheme="majorHAnsi" w:cstheme="majorHAnsi"/>
                </w:rPr>
                <w:t>https://www.datosabiertos.gob.pe/dataset/puestos-de-trabajo-registrados-en-el-sector-formal-asalariado-privado-2020-2021-ministerio</w:t>
              </w:r>
            </w:hyperlink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4F1D9B" w:rsidRPr="009F0CA5" w14:paraId="0A99B4AF" w14:textId="77777777" w:rsidTr="004F1D9B">
        <w:trPr>
          <w:trHeight w:val="6088"/>
        </w:trPr>
        <w:tc>
          <w:tcPr>
            <w:tcW w:w="2263" w:type="dxa"/>
            <w:vAlign w:val="center"/>
          </w:tcPr>
          <w:p w14:paraId="6630CAA6" w14:textId="7C4AE56B" w:rsidR="009F0CA5" w:rsidRPr="00791181" w:rsidRDefault="009F0CA5" w:rsidP="009F0C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9118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8193" w:type="dxa"/>
            <w:vAlign w:val="center"/>
          </w:tcPr>
          <w:p w14:paraId="6978593E" w14:textId="19B11620" w:rsidR="00182E95" w:rsidRPr="00791181" w:rsidRDefault="004E40DE" w:rsidP="000F5DA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91181">
              <w:rPr>
                <w:rFonts w:asciiTheme="majorHAnsi" w:hAnsiTheme="majorHAnsi" w:cstheme="majorHAnsi"/>
                <w:sz w:val="20"/>
                <w:szCs w:val="20"/>
              </w:rPr>
              <w:t xml:space="preserve">La fuente de información utilizada es la Planilla Electrónica </w:t>
            </w:r>
            <w:r w:rsidR="00D7096E" w:rsidRPr="00791181">
              <w:rPr>
                <w:rFonts w:asciiTheme="majorHAnsi" w:hAnsiTheme="majorHAnsi" w:cstheme="majorHAnsi"/>
                <w:sz w:val="20"/>
                <w:szCs w:val="20"/>
              </w:rPr>
              <w:t xml:space="preserve">(PLAME + T Registro) </w:t>
            </w:r>
            <w:r w:rsidRPr="00791181">
              <w:rPr>
                <w:rFonts w:asciiTheme="majorHAnsi" w:hAnsiTheme="majorHAnsi" w:cstheme="majorHAnsi"/>
                <w:sz w:val="20"/>
                <w:szCs w:val="20"/>
              </w:rPr>
              <w:t>que e</w:t>
            </w:r>
            <w:r w:rsidR="00182E95" w:rsidRPr="00791181">
              <w:rPr>
                <w:rFonts w:asciiTheme="majorHAnsi" w:hAnsiTheme="majorHAnsi" w:cstheme="majorHAnsi"/>
                <w:sz w:val="20"/>
                <w:szCs w:val="20"/>
              </w:rPr>
              <w:t>s el documento llevado a través de los medios informáticos desarrollados por la SUNAT</w:t>
            </w:r>
            <w:r w:rsidR="00A1779F" w:rsidRPr="00791181">
              <w:rPr>
                <w:rFonts w:asciiTheme="majorHAnsi" w:hAnsiTheme="majorHAnsi" w:cstheme="majorHAnsi"/>
                <w:sz w:val="20"/>
                <w:szCs w:val="20"/>
              </w:rPr>
              <w:t xml:space="preserve"> en coordinación con MTPE</w:t>
            </w:r>
            <w:r w:rsidR="00182E95" w:rsidRPr="00791181">
              <w:rPr>
                <w:rFonts w:asciiTheme="majorHAnsi" w:hAnsiTheme="majorHAnsi" w:cstheme="majorHAnsi"/>
                <w:sz w:val="20"/>
                <w:szCs w:val="20"/>
              </w:rPr>
              <w:t>, en el que se encuentra la información</w:t>
            </w:r>
            <w:r w:rsidR="00D7096E" w:rsidRPr="00791181">
              <w:rPr>
                <w:rFonts w:asciiTheme="majorHAnsi" w:hAnsiTheme="majorHAnsi" w:cstheme="majorHAnsi"/>
                <w:sz w:val="20"/>
                <w:szCs w:val="20"/>
              </w:rPr>
              <w:t xml:space="preserve">, entre otros, de los </w:t>
            </w:r>
            <w:r w:rsidR="00182E95" w:rsidRPr="00791181">
              <w:rPr>
                <w:rFonts w:asciiTheme="majorHAnsi" w:hAnsiTheme="majorHAnsi" w:cstheme="majorHAnsi"/>
                <w:sz w:val="20"/>
                <w:szCs w:val="20"/>
              </w:rPr>
              <w:t>trabajadores</w:t>
            </w:r>
            <w:r w:rsidR="00D7096E" w:rsidRPr="0079118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966BAE" w:rsidRPr="00791181">
              <w:rPr>
                <w:rFonts w:asciiTheme="majorHAnsi" w:hAnsiTheme="majorHAnsi" w:cstheme="majorHAnsi"/>
                <w:sz w:val="20"/>
                <w:szCs w:val="20"/>
              </w:rPr>
              <w:t xml:space="preserve">dependientes </w:t>
            </w:r>
            <w:r w:rsidR="00D7096E" w:rsidRPr="00791181">
              <w:rPr>
                <w:rFonts w:asciiTheme="majorHAnsi" w:hAnsiTheme="majorHAnsi" w:cstheme="majorHAnsi"/>
                <w:sz w:val="20"/>
                <w:szCs w:val="20"/>
              </w:rPr>
              <w:t>del sector formal privado</w:t>
            </w:r>
            <w:r w:rsidR="00966BAE" w:rsidRPr="00791181">
              <w:rPr>
                <w:rFonts w:asciiTheme="majorHAnsi" w:hAnsiTheme="majorHAnsi" w:cstheme="majorHAnsi"/>
                <w:sz w:val="20"/>
                <w:szCs w:val="20"/>
              </w:rPr>
              <w:t>, declarados por los empleadores</w:t>
            </w:r>
          </w:p>
          <w:p w14:paraId="49049589" w14:textId="77777777" w:rsidR="00182E95" w:rsidRPr="00791181" w:rsidRDefault="00182E95" w:rsidP="000F5DA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FAC8C46" w14:textId="4965FB45" w:rsidR="00182E95" w:rsidRPr="00791181" w:rsidRDefault="00182E95" w:rsidP="000F5DA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91181">
              <w:rPr>
                <w:rFonts w:asciiTheme="majorHAnsi" w:hAnsiTheme="majorHAnsi" w:cstheme="majorHAnsi"/>
                <w:sz w:val="20"/>
                <w:szCs w:val="20"/>
              </w:rPr>
              <w:t xml:space="preserve">A partir del </w:t>
            </w:r>
            <w:r w:rsidR="00D96A6B" w:rsidRPr="00791181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791181">
              <w:rPr>
                <w:rFonts w:asciiTheme="majorHAnsi" w:hAnsiTheme="majorHAnsi" w:cstheme="majorHAnsi"/>
                <w:sz w:val="20"/>
                <w:szCs w:val="20"/>
              </w:rPr>
              <w:t>1.08.2011</w:t>
            </w:r>
            <w:r w:rsidR="00966BAE" w:rsidRPr="00791181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791181">
              <w:rPr>
                <w:rFonts w:asciiTheme="majorHAnsi" w:hAnsiTheme="majorHAnsi" w:cstheme="majorHAnsi"/>
                <w:sz w:val="20"/>
                <w:szCs w:val="20"/>
              </w:rPr>
              <w:t xml:space="preserve"> la Planilla </w:t>
            </w:r>
            <w:r w:rsidR="004E40DE" w:rsidRPr="00791181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Pr="00791181">
              <w:rPr>
                <w:rFonts w:asciiTheme="majorHAnsi" w:hAnsiTheme="majorHAnsi" w:cstheme="majorHAnsi"/>
                <w:sz w:val="20"/>
                <w:szCs w:val="20"/>
              </w:rPr>
              <w:t xml:space="preserve">lectrónica tiene dos componentes que son el Registro de Información Laboral (T-Registro) y la Planilla Mensual de Pagos (PLAME). </w:t>
            </w:r>
          </w:p>
          <w:p w14:paraId="51B6A6C5" w14:textId="77777777" w:rsidR="00182E95" w:rsidRPr="00791181" w:rsidRDefault="00182E95" w:rsidP="000F5DA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7A7CDD9" w14:textId="05549660" w:rsidR="00182E95" w:rsidRPr="00791181" w:rsidRDefault="00182E95" w:rsidP="000F5DAE">
            <w:pPr>
              <w:pStyle w:val="Prrafodelista"/>
              <w:numPr>
                <w:ilvl w:val="0"/>
                <w:numId w:val="6"/>
              </w:numPr>
              <w:spacing w:after="360"/>
              <w:ind w:left="714" w:hanging="357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91181">
              <w:rPr>
                <w:rFonts w:asciiTheme="majorHAnsi" w:hAnsiTheme="majorHAnsi" w:cstheme="majorHAnsi"/>
                <w:sz w:val="20"/>
                <w:szCs w:val="20"/>
              </w:rPr>
              <w:t>T – REGISTRO (Registro de Información Laboral): Es el Registro de Información Laboral de trabajadores</w:t>
            </w:r>
            <w:r w:rsidR="00D7096E" w:rsidRPr="00791181">
              <w:rPr>
                <w:rFonts w:asciiTheme="majorHAnsi" w:hAnsiTheme="majorHAnsi" w:cstheme="majorHAnsi"/>
                <w:sz w:val="20"/>
                <w:szCs w:val="20"/>
              </w:rPr>
              <w:t xml:space="preserve"> y otros</w:t>
            </w:r>
            <w:r w:rsidRPr="00791181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34515578" w14:textId="6EB338F3" w:rsidR="00182E95" w:rsidRPr="00791181" w:rsidRDefault="00182E95" w:rsidP="000F5DAE">
            <w:pPr>
              <w:pStyle w:val="Prrafodelista"/>
              <w:numPr>
                <w:ilvl w:val="0"/>
                <w:numId w:val="6"/>
              </w:numPr>
              <w:spacing w:before="240" w:after="120"/>
              <w:ind w:left="714" w:hanging="357"/>
              <w:contextualSpacing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91181">
              <w:rPr>
                <w:rFonts w:asciiTheme="majorHAnsi" w:hAnsiTheme="majorHAnsi" w:cstheme="majorHAnsi"/>
                <w:sz w:val="20"/>
                <w:szCs w:val="20"/>
              </w:rPr>
              <w:t xml:space="preserve">PLAME (Planilla Mensual de Pagos): Comprende información laboral, de seguridad social y otros datos sobre el tipo de ingresos de los </w:t>
            </w:r>
            <w:r w:rsidR="00D7096E" w:rsidRPr="00791181">
              <w:rPr>
                <w:rFonts w:asciiTheme="majorHAnsi" w:hAnsiTheme="majorHAnsi" w:cstheme="majorHAnsi"/>
                <w:sz w:val="20"/>
                <w:szCs w:val="20"/>
              </w:rPr>
              <w:t>trabajadores.</w:t>
            </w:r>
          </w:p>
          <w:p w14:paraId="0F6654D0" w14:textId="0EFBDB2B" w:rsidR="000F5DAE" w:rsidRPr="00791181" w:rsidRDefault="000F5DAE" w:rsidP="000F5DAE">
            <w:pPr>
              <w:spacing w:before="240"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91181">
              <w:rPr>
                <w:rFonts w:asciiTheme="majorHAnsi" w:hAnsiTheme="majorHAnsi" w:cstheme="majorHAnsi"/>
                <w:sz w:val="20"/>
                <w:szCs w:val="20"/>
              </w:rPr>
              <w:t>Se considera como trabajador</w:t>
            </w:r>
            <w:r w:rsidR="00D7096E" w:rsidRPr="00791181">
              <w:rPr>
                <w:rFonts w:asciiTheme="majorHAnsi" w:hAnsiTheme="majorHAnsi" w:cstheme="majorHAnsi"/>
                <w:sz w:val="20"/>
                <w:szCs w:val="20"/>
              </w:rPr>
              <w:t xml:space="preserve"> en el caso del sector formal privado</w:t>
            </w:r>
            <w:r w:rsidRPr="00791181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</w:p>
          <w:p w14:paraId="3C5E23E3" w14:textId="77777777" w:rsidR="000F5DAE" w:rsidRPr="00791181" w:rsidRDefault="000F5DAE" w:rsidP="00D7096E">
            <w:pPr>
              <w:pStyle w:val="Prrafodelista"/>
              <w:numPr>
                <w:ilvl w:val="0"/>
                <w:numId w:val="8"/>
              </w:numPr>
              <w:spacing w:before="240"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91181">
              <w:rPr>
                <w:rFonts w:asciiTheme="majorHAnsi" w:hAnsiTheme="majorHAnsi" w:cstheme="majorHAnsi"/>
                <w:sz w:val="20"/>
                <w:szCs w:val="20"/>
              </w:rPr>
              <w:t>Persona natural que presta servicios a un empleador bajo relación de subordinación, sujeto a cualquier régimen laboral, cualquiera sea la modalidad del contrato de trabajo</w:t>
            </w:r>
            <w:r w:rsidR="00D7096E" w:rsidRPr="00791181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23C5F388" w14:textId="4C7D4398" w:rsidR="00E26800" w:rsidRPr="00791181" w:rsidRDefault="00D96A6B" w:rsidP="00D7096E">
            <w:pPr>
              <w:spacing w:before="240"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91181">
              <w:rPr>
                <w:rFonts w:asciiTheme="majorHAnsi" w:hAnsiTheme="majorHAnsi" w:cstheme="majorHAnsi"/>
                <w:sz w:val="20"/>
                <w:szCs w:val="20"/>
              </w:rPr>
              <w:t xml:space="preserve">Cada registro </w:t>
            </w:r>
            <w:r w:rsidR="00F85364" w:rsidRPr="00791181">
              <w:rPr>
                <w:rFonts w:asciiTheme="majorHAnsi" w:hAnsiTheme="majorHAnsi" w:cstheme="majorHAnsi"/>
                <w:sz w:val="20"/>
                <w:szCs w:val="20"/>
              </w:rPr>
              <w:t xml:space="preserve">es igual a </w:t>
            </w:r>
            <w:r w:rsidRPr="00791181">
              <w:rPr>
                <w:rFonts w:asciiTheme="majorHAnsi" w:hAnsiTheme="majorHAnsi" w:cstheme="majorHAnsi"/>
                <w:sz w:val="20"/>
                <w:szCs w:val="20"/>
              </w:rPr>
              <w:t>un puesto de trabajo de la persona registrada en la Planilla Electrónica. Una persona podría tener uno o más puestos de trabajo en diferentes empresas. La información puede caracterizar</w:t>
            </w:r>
            <w:r w:rsidR="00F85364" w:rsidRPr="00791181">
              <w:rPr>
                <w:rFonts w:asciiTheme="majorHAnsi" w:hAnsiTheme="majorHAnsi" w:cstheme="majorHAnsi"/>
                <w:sz w:val="20"/>
                <w:szCs w:val="20"/>
              </w:rPr>
              <w:t>se</w:t>
            </w:r>
            <w:r w:rsidRPr="00791181">
              <w:rPr>
                <w:rFonts w:asciiTheme="majorHAnsi" w:hAnsiTheme="majorHAnsi" w:cstheme="majorHAnsi"/>
                <w:sz w:val="20"/>
                <w:szCs w:val="20"/>
              </w:rPr>
              <w:t xml:space="preserve"> por: sexo, edad,</w:t>
            </w:r>
            <w:r w:rsidR="00F85364" w:rsidRPr="00791181">
              <w:rPr>
                <w:rFonts w:asciiTheme="majorHAnsi" w:hAnsiTheme="majorHAnsi" w:cstheme="majorHAnsi"/>
                <w:sz w:val="20"/>
                <w:szCs w:val="20"/>
              </w:rPr>
              <w:t xml:space="preserve"> nivel educativo, régimen laboral, sistema de salud, tipo de pensión, tipo de ocupación, remuneración mensual del puesto de trabajo registrado en el sector formal privado. Además, </w:t>
            </w:r>
            <w:r w:rsidR="008132B5" w:rsidRPr="00791181">
              <w:rPr>
                <w:rFonts w:asciiTheme="majorHAnsi" w:hAnsiTheme="majorHAnsi" w:cstheme="majorHAnsi"/>
                <w:sz w:val="20"/>
                <w:szCs w:val="20"/>
              </w:rPr>
              <w:t xml:space="preserve">la empresa se puede caracterizar por: tamaño de empresa, sector económico, departamento donde </w:t>
            </w:r>
            <w:r w:rsidR="009A47B5" w:rsidRPr="00791181">
              <w:rPr>
                <w:rFonts w:asciiTheme="majorHAnsi" w:hAnsiTheme="majorHAnsi" w:cstheme="majorHAnsi"/>
                <w:sz w:val="20"/>
                <w:szCs w:val="20"/>
              </w:rPr>
              <w:t>está</w:t>
            </w:r>
            <w:r w:rsidR="008132B5" w:rsidRPr="00791181">
              <w:rPr>
                <w:rFonts w:asciiTheme="majorHAnsi" w:hAnsiTheme="majorHAnsi" w:cstheme="majorHAnsi"/>
                <w:sz w:val="20"/>
                <w:szCs w:val="20"/>
              </w:rPr>
              <w:t xml:space="preserve"> ubicado el establecimiento de la empresa y el mes registrado en que laboró la persona del puesto de trabajo.</w:t>
            </w:r>
          </w:p>
          <w:p w14:paraId="0765A5A8" w14:textId="6FC74B78" w:rsidR="00E26800" w:rsidRPr="00791181" w:rsidRDefault="00E26800" w:rsidP="00E26800">
            <w:pPr>
              <w:spacing w:before="240"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91181">
              <w:rPr>
                <w:rFonts w:asciiTheme="majorHAnsi" w:hAnsiTheme="majorHAnsi" w:cstheme="majorHAnsi"/>
                <w:sz w:val="20"/>
                <w:szCs w:val="20"/>
              </w:rPr>
              <w:t>Para levantar este dataset se recomienda hacerlo en formato: ASCII o UNICODE.</w:t>
            </w:r>
          </w:p>
          <w:p w14:paraId="53C85011" w14:textId="097923F8" w:rsidR="00D7096E" w:rsidRPr="00791181" w:rsidRDefault="00D7096E" w:rsidP="00D7096E">
            <w:pPr>
              <w:spacing w:before="240"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91181">
              <w:rPr>
                <w:rFonts w:asciiTheme="majorHAnsi" w:hAnsiTheme="majorHAnsi" w:cstheme="majorHAnsi"/>
                <w:sz w:val="20"/>
                <w:szCs w:val="20"/>
              </w:rPr>
              <w:t>Para mayor detalle de la información adicional contenida en la Planilla Electrónica ver:</w:t>
            </w:r>
          </w:p>
          <w:p w14:paraId="71A27ABB" w14:textId="77777777" w:rsidR="00D7096E" w:rsidRPr="00791181" w:rsidRDefault="00000000" w:rsidP="00D7096E">
            <w:pPr>
              <w:spacing w:before="240" w:after="120"/>
              <w:jc w:val="both"/>
            </w:pPr>
            <w:hyperlink r:id="rId7" w:tgtFrame="_blank" w:history="1">
              <w:r w:rsidR="00D7096E" w:rsidRPr="00791181">
                <w:rPr>
                  <w:rStyle w:val="Hipervnculo"/>
                  <w:rFonts w:ascii="Roboto" w:hAnsi="Roboto"/>
                  <w:color w:val="3367D6"/>
                  <w:sz w:val="20"/>
                  <w:szCs w:val="20"/>
                  <w:shd w:val="clear" w:color="auto" w:fill="FFFFFF"/>
                </w:rPr>
                <w:t>https://orientacion.sunat.gob.pe/informacion-general-planilla-electronica</w:t>
              </w:r>
            </w:hyperlink>
          </w:p>
          <w:p w14:paraId="1341D775" w14:textId="4BF46926" w:rsidR="00D96A6B" w:rsidRPr="00791181" w:rsidRDefault="00D96A6B" w:rsidP="00D7096E">
            <w:pPr>
              <w:spacing w:before="240"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91181">
              <w:rPr>
                <w:rFonts w:asciiTheme="majorHAnsi" w:hAnsiTheme="majorHAnsi" w:cstheme="majorHAnsi"/>
                <w:sz w:val="20"/>
                <w:szCs w:val="20"/>
              </w:rPr>
              <w:t>Catálogo: Anexo Tablas Paramétricas. Dentro del Excel, buscar hoja: "T30 Ocupación S.Privado"</w:t>
            </w:r>
            <w:r w:rsidR="00CE1C9F" w:rsidRPr="00791181">
              <w:rPr>
                <w:rFonts w:asciiTheme="majorHAnsi" w:hAnsiTheme="majorHAnsi" w:cstheme="majorHAnsi"/>
                <w:sz w:val="20"/>
                <w:szCs w:val="20"/>
              </w:rPr>
              <w:t xml:space="preserve">. Link: </w:t>
            </w:r>
          </w:p>
          <w:p w14:paraId="7657A7FC" w14:textId="77777777" w:rsidR="00CE1C9F" w:rsidRDefault="00000000" w:rsidP="00D7096E">
            <w:pPr>
              <w:spacing w:before="240" w:after="120"/>
              <w:jc w:val="both"/>
              <w:rPr>
                <w:rStyle w:val="Hipervnculo"/>
                <w:rFonts w:asciiTheme="majorHAnsi" w:hAnsiTheme="majorHAnsi" w:cstheme="majorHAnsi"/>
                <w:sz w:val="20"/>
                <w:szCs w:val="20"/>
              </w:rPr>
            </w:pPr>
            <w:hyperlink r:id="rId8" w:history="1">
              <w:r w:rsidR="00CE1C9F" w:rsidRPr="00791181">
                <w:rPr>
                  <w:rStyle w:val="Hipervnculo"/>
                  <w:rFonts w:asciiTheme="majorHAnsi" w:hAnsiTheme="majorHAnsi" w:cstheme="majorHAnsi"/>
                  <w:sz w:val="20"/>
                  <w:szCs w:val="20"/>
                </w:rPr>
                <w:t>https://orientacion.sunat.gob.pe/7086-12-tablas-parametricas</w:t>
              </w:r>
            </w:hyperlink>
          </w:p>
          <w:p w14:paraId="5956AB00" w14:textId="5BE7F890" w:rsidR="00E4102F" w:rsidRDefault="00E4102F" w:rsidP="00D7096E">
            <w:pPr>
              <w:spacing w:before="240"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Nota: El número de puestos de trabajo reportado considera la regla de negocios detallada en las notas metodológicas de los informes mensuales de empleo formal privado:</w:t>
            </w:r>
          </w:p>
          <w:p w14:paraId="1F87AF6D" w14:textId="3832F4AD" w:rsidR="00E4102F" w:rsidRDefault="00000000" w:rsidP="00D7096E">
            <w:pPr>
              <w:spacing w:before="240"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hyperlink r:id="rId9" w:history="1">
              <w:r w:rsidR="00E4102F" w:rsidRPr="00614418">
                <w:rPr>
                  <w:rStyle w:val="Hipervnculo"/>
                  <w:rFonts w:asciiTheme="majorHAnsi" w:hAnsiTheme="majorHAnsi" w:cstheme="majorHAnsi"/>
                  <w:sz w:val="20"/>
                  <w:szCs w:val="20"/>
                </w:rPr>
                <w:t>https://www2.trabajo.gob.pe/promocion-del-empleo-y-autoempleo/informacion-del-mercado-de-trabajo/nforme-mensual-del-empleo-privado-formal/</w:t>
              </w:r>
            </w:hyperlink>
          </w:p>
          <w:p w14:paraId="78DB27FB" w14:textId="1E543526" w:rsidR="00E4102F" w:rsidRPr="00D7096E" w:rsidRDefault="00E4102F" w:rsidP="00D7096E">
            <w:pPr>
              <w:spacing w:before="240"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F1D9B" w:rsidRPr="009F0CA5" w14:paraId="34C5A14B" w14:textId="77777777" w:rsidTr="004F1D9B">
        <w:trPr>
          <w:trHeight w:val="257"/>
        </w:trPr>
        <w:tc>
          <w:tcPr>
            <w:tcW w:w="2263" w:type="dxa"/>
            <w:vAlign w:val="center"/>
          </w:tcPr>
          <w:p w14:paraId="5E237A7A" w14:textId="79F7B230" w:rsidR="009F0CA5" w:rsidRPr="009F0CA5" w:rsidRDefault="009F0CA5" w:rsidP="009F0C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8193" w:type="dxa"/>
            <w:vAlign w:val="center"/>
          </w:tcPr>
          <w:p w14:paraId="121E7044" w14:textId="2DC4888E" w:rsidR="009F0CA5" w:rsidRPr="009F0CA5" w:rsidRDefault="00D957C7" w:rsidP="009F0CA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Ministerio de Trabajo</w:t>
            </w:r>
            <w:r w:rsidR="006E43D9">
              <w:rPr>
                <w:rFonts w:asciiTheme="majorHAnsi" w:hAnsiTheme="majorHAnsi" w:cstheme="majorHAnsi"/>
              </w:rPr>
              <w:t xml:space="preserve"> y Promoción del Empleo</w:t>
            </w:r>
          </w:p>
        </w:tc>
      </w:tr>
      <w:tr w:rsidR="004F1D9B" w:rsidRPr="009F0CA5" w14:paraId="44E1E3FC" w14:textId="77777777" w:rsidTr="004F1D9B">
        <w:trPr>
          <w:trHeight w:val="257"/>
        </w:trPr>
        <w:tc>
          <w:tcPr>
            <w:tcW w:w="2263" w:type="dxa"/>
            <w:vAlign w:val="center"/>
          </w:tcPr>
          <w:p w14:paraId="1CC983C1" w14:textId="2E7BC935" w:rsidR="009F0CA5" w:rsidRPr="009F0CA5" w:rsidRDefault="009F0CA5" w:rsidP="009F0C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8193" w:type="dxa"/>
            <w:vAlign w:val="center"/>
          </w:tcPr>
          <w:p w14:paraId="79D03DDB" w14:textId="6121B239" w:rsidR="00B40B2E" w:rsidRPr="009F0CA5" w:rsidRDefault="00C728B6" w:rsidP="009F0CA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SUNAT</w:t>
            </w:r>
            <w:r w:rsidR="00B40B2E">
              <w:rPr>
                <w:rFonts w:asciiTheme="majorHAnsi" w:hAnsiTheme="majorHAnsi" w:cstheme="majorHAnsi"/>
              </w:rPr>
              <w:t xml:space="preserve"> y MTPE</w:t>
            </w:r>
          </w:p>
        </w:tc>
      </w:tr>
      <w:tr w:rsidR="004F1D9B" w:rsidRPr="009F0CA5" w14:paraId="10DFA5A9" w14:textId="77777777" w:rsidTr="004F1D9B">
        <w:trPr>
          <w:trHeight w:val="257"/>
        </w:trPr>
        <w:tc>
          <w:tcPr>
            <w:tcW w:w="2263" w:type="dxa"/>
            <w:vAlign w:val="center"/>
          </w:tcPr>
          <w:p w14:paraId="28F403E7" w14:textId="5DE2D423" w:rsidR="009F0CA5" w:rsidRPr="009F0CA5" w:rsidRDefault="009F0CA5" w:rsidP="009F0C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8193" w:type="dxa"/>
            <w:vAlign w:val="center"/>
          </w:tcPr>
          <w:p w14:paraId="34468817" w14:textId="03C4984B" w:rsidR="009F0CA5" w:rsidRPr="009F0CA5" w:rsidRDefault="00B40B2E" w:rsidP="009F0CA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Empleo, Planilla</w:t>
            </w:r>
            <w:r w:rsidR="00673BC2">
              <w:rPr>
                <w:rFonts w:asciiTheme="majorHAnsi" w:hAnsiTheme="majorHAnsi" w:cstheme="majorHAnsi"/>
              </w:rPr>
              <w:t>, Trabajadores</w:t>
            </w:r>
          </w:p>
        </w:tc>
      </w:tr>
      <w:tr w:rsidR="004F1D9B" w:rsidRPr="009F0CA5" w14:paraId="4CB40951" w14:textId="77777777" w:rsidTr="004F1D9B">
        <w:trPr>
          <w:trHeight w:val="469"/>
        </w:trPr>
        <w:tc>
          <w:tcPr>
            <w:tcW w:w="2263" w:type="dxa"/>
            <w:vAlign w:val="center"/>
          </w:tcPr>
          <w:p w14:paraId="6EE30CEC" w14:textId="61F13368" w:rsidR="009F0CA5" w:rsidRPr="009F0CA5" w:rsidRDefault="009F0CA5" w:rsidP="009F0C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8193" w:type="dxa"/>
            <w:vAlign w:val="center"/>
          </w:tcPr>
          <w:p w14:paraId="1773B359" w14:textId="78F2C10B" w:rsidR="009F0CA5" w:rsidRPr="009F0CA5" w:rsidRDefault="005F435B" w:rsidP="009F0CA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</w:t>
            </w:r>
            <w:r w:rsidR="00B40B2E">
              <w:rPr>
                <w:rFonts w:asciiTheme="majorHAnsi" w:hAnsiTheme="majorHAnsi" w:cstheme="majorHAnsi"/>
              </w:rPr>
              <w:t>-0</w:t>
            </w:r>
            <w:r>
              <w:rPr>
                <w:rFonts w:asciiTheme="majorHAnsi" w:hAnsiTheme="majorHAnsi" w:cstheme="majorHAnsi"/>
              </w:rPr>
              <w:t>9</w:t>
            </w:r>
            <w:r w:rsidR="00B40B2E">
              <w:rPr>
                <w:rFonts w:asciiTheme="majorHAnsi" w:hAnsiTheme="majorHAnsi" w:cstheme="majorHAnsi"/>
              </w:rPr>
              <w:t>-</w:t>
            </w:r>
            <w:r>
              <w:rPr>
                <w:rFonts w:asciiTheme="majorHAnsi" w:hAnsiTheme="majorHAnsi" w:cstheme="majorHAnsi"/>
              </w:rPr>
              <w:t>04</w:t>
            </w:r>
          </w:p>
        </w:tc>
      </w:tr>
      <w:tr w:rsidR="004F1D9B" w:rsidRPr="009F0CA5" w14:paraId="47A0F35E" w14:textId="77777777" w:rsidTr="00F85364">
        <w:trPr>
          <w:trHeight w:val="518"/>
        </w:trPr>
        <w:tc>
          <w:tcPr>
            <w:tcW w:w="2263" w:type="dxa"/>
            <w:vAlign w:val="center"/>
          </w:tcPr>
          <w:p w14:paraId="31D633CE" w14:textId="7D4DFDCF" w:rsidR="009F0CA5" w:rsidRPr="009F0CA5" w:rsidRDefault="009F0CA5" w:rsidP="009F0C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8193" w:type="dxa"/>
            <w:vAlign w:val="center"/>
          </w:tcPr>
          <w:p w14:paraId="018E3557" w14:textId="6DF2BF20" w:rsidR="009F0CA5" w:rsidRPr="00D5559D" w:rsidRDefault="00B40B2E" w:rsidP="009F0CA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Se actualiza la información </w:t>
            </w:r>
            <w:r w:rsidR="00673BC2">
              <w:rPr>
                <w:rFonts w:asciiTheme="majorHAnsi" w:hAnsiTheme="majorHAnsi" w:cstheme="majorHAnsi"/>
              </w:rPr>
              <w:t>semestralmente</w:t>
            </w:r>
            <w:r>
              <w:rPr>
                <w:rFonts w:asciiTheme="majorHAnsi" w:hAnsiTheme="majorHAnsi" w:cstheme="majorHAnsi"/>
              </w:rPr>
              <w:t>.</w:t>
            </w:r>
          </w:p>
        </w:tc>
      </w:tr>
      <w:tr w:rsidR="004F1D9B" w:rsidRPr="009F0CA5" w14:paraId="1438993B" w14:textId="77777777" w:rsidTr="00F85364">
        <w:trPr>
          <w:trHeight w:val="284"/>
        </w:trPr>
        <w:tc>
          <w:tcPr>
            <w:tcW w:w="2263" w:type="dxa"/>
            <w:vAlign w:val="center"/>
          </w:tcPr>
          <w:p w14:paraId="04A52FCD" w14:textId="340EF705" w:rsidR="009F0CA5" w:rsidRPr="009F0CA5" w:rsidRDefault="009F0CA5" w:rsidP="009F0C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lastRenderedPageBreak/>
              <w:t>Última actualización</w:t>
            </w:r>
          </w:p>
        </w:tc>
        <w:tc>
          <w:tcPr>
            <w:tcW w:w="8193" w:type="dxa"/>
            <w:vAlign w:val="center"/>
          </w:tcPr>
          <w:p w14:paraId="50277176" w14:textId="75B39210" w:rsidR="009F0CA5" w:rsidRPr="009F0CA5" w:rsidRDefault="005F435B" w:rsidP="009F0CA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2024</w:t>
            </w:r>
            <w:r w:rsidR="009F0CA5"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-0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9</w:t>
            </w:r>
            <w:r w:rsidR="009F0CA5"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04</w:t>
            </w:r>
            <w:r w:rsidR="009F0CA5"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, </w:t>
            </w:r>
            <w:r w:rsidR="00F66923">
              <w:rPr>
                <w:rFonts w:asciiTheme="majorHAnsi" w:hAnsiTheme="majorHAnsi" w:cstheme="majorHAnsi"/>
                <w:color w:val="000000" w:themeColor="text1"/>
                <w:kern w:val="24"/>
              </w:rPr>
              <w:t>20</w:t>
            </w:r>
            <w:r w:rsidR="009F0CA5"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:00 (UTC-05:00)</w:t>
            </w:r>
          </w:p>
        </w:tc>
      </w:tr>
      <w:tr w:rsidR="004F1D9B" w:rsidRPr="009F0CA5" w14:paraId="6B6F49AA" w14:textId="77777777" w:rsidTr="004F1D9B">
        <w:trPr>
          <w:trHeight w:val="257"/>
        </w:trPr>
        <w:tc>
          <w:tcPr>
            <w:tcW w:w="2263" w:type="dxa"/>
            <w:vAlign w:val="center"/>
          </w:tcPr>
          <w:p w14:paraId="5A5B2C59" w14:textId="3D27485E" w:rsidR="009F0CA5" w:rsidRPr="009F0CA5" w:rsidRDefault="009F0CA5" w:rsidP="009F0C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8193" w:type="dxa"/>
            <w:vAlign w:val="center"/>
          </w:tcPr>
          <w:p w14:paraId="76C129D8" w14:textId="7B9B2A4E" w:rsidR="009F0CA5" w:rsidRPr="009F0CA5" w:rsidRDefault="005F435B" w:rsidP="009F0CA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B40B2E">
              <w:rPr>
                <w:rFonts w:asciiTheme="majorHAnsi" w:hAnsiTheme="majorHAnsi" w:cstheme="majorHAnsi"/>
              </w:rPr>
              <w:t>.0</w:t>
            </w:r>
          </w:p>
        </w:tc>
      </w:tr>
      <w:tr w:rsidR="004F1D9B" w:rsidRPr="007975F1" w14:paraId="291E47F2" w14:textId="77777777" w:rsidTr="004F1D9B">
        <w:trPr>
          <w:trHeight w:val="257"/>
        </w:trPr>
        <w:tc>
          <w:tcPr>
            <w:tcW w:w="2263" w:type="dxa"/>
            <w:vAlign w:val="center"/>
          </w:tcPr>
          <w:p w14:paraId="2769E4E3" w14:textId="271017EA" w:rsidR="009F0CA5" w:rsidRPr="009F0CA5" w:rsidRDefault="009F0CA5" w:rsidP="009F0C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8193" w:type="dxa"/>
            <w:vAlign w:val="center"/>
          </w:tcPr>
          <w:p w14:paraId="247EA21F" w14:textId="566E3E76" w:rsidR="009F0CA5" w:rsidRPr="004E40DE" w:rsidRDefault="00000000" w:rsidP="009F0CA5">
            <w:pPr>
              <w:rPr>
                <w:rFonts w:asciiTheme="majorHAnsi" w:hAnsiTheme="majorHAnsi" w:cstheme="majorHAnsi"/>
                <w:lang w:val="en-US"/>
              </w:rPr>
            </w:pPr>
            <w:hyperlink r:id="rId10" w:history="1">
              <w:r w:rsidR="009F0CA5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4F1D9B" w:rsidRPr="009F0CA5" w14:paraId="0E8B8AAE" w14:textId="77777777" w:rsidTr="004F1D9B">
        <w:trPr>
          <w:trHeight w:val="265"/>
        </w:trPr>
        <w:tc>
          <w:tcPr>
            <w:tcW w:w="2263" w:type="dxa"/>
            <w:vAlign w:val="center"/>
          </w:tcPr>
          <w:p w14:paraId="09BAC9BD" w14:textId="2F7236B6" w:rsidR="009F0CA5" w:rsidRPr="009F0CA5" w:rsidRDefault="009F0CA5" w:rsidP="009F0C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8193" w:type="dxa"/>
            <w:vAlign w:val="center"/>
          </w:tcPr>
          <w:p w14:paraId="5DD9FB53" w14:textId="5E5F22C9" w:rsidR="009F0CA5" w:rsidRPr="009F0CA5" w:rsidRDefault="009F0CA5" w:rsidP="009F0CA5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4F1D9B" w:rsidRPr="009F0CA5" w14:paraId="4120F86A" w14:textId="77777777" w:rsidTr="004F1D9B">
        <w:trPr>
          <w:trHeight w:val="696"/>
        </w:trPr>
        <w:tc>
          <w:tcPr>
            <w:tcW w:w="2263" w:type="dxa"/>
            <w:vAlign w:val="center"/>
          </w:tcPr>
          <w:p w14:paraId="1A53DB6D" w14:textId="4BA9C1A1" w:rsidR="009F0CA5" w:rsidRPr="009F0CA5" w:rsidRDefault="009F0CA5" w:rsidP="009F0C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8193" w:type="dxa"/>
            <w:vAlign w:val="center"/>
          </w:tcPr>
          <w:p w14:paraId="1E15B081" w14:textId="02C664C5" w:rsidR="009F0CA5" w:rsidRPr="009F0CA5" w:rsidRDefault="009F0CA5" w:rsidP="009F0CA5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673BC2" w:rsidRPr="009F0CA5" w14:paraId="274919AA" w14:textId="77777777" w:rsidTr="00673BC2">
        <w:trPr>
          <w:trHeight w:val="70"/>
        </w:trPr>
        <w:tc>
          <w:tcPr>
            <w:tcW w:w="2263" w:type="dxa"/>
          </w:tcPr>
          <w:p w14:paraId="6DCA0C6E" w14:textId="1888E7EC" w:rsidR="00673BC2" w:rsidRPr="009F0CA5" w:rsidRDefault="00673BC2" w:rsidP="00673BC2">
            <w:pP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673BC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8193" w:type="dxa"/>
          </w:tcPr>
          <w:p w14:paraId="7B4BD576" w14:textId="0DF41F3F" w:rsidR="00673BC2" w:rsidRPr="009F0CA5" w:rsidRDefault="00673BC2" w:rsidP="00673BC2">
            <w:pPr>
              <w:rPr>
                <w:rFonts w:asciiTheme="majorHAnsi" w:hAnsiTheme="majorHAnsi" w:cstheme="majorHAnsi"/>
                <w:color w:val="000000" w:themeColor="text1"/>
                <w:kern w:val="24"/>
              </w:rPr>
            </w:pPr>
            <w:r w:rsidRPr="00004835">
              <w:rPr>
                <w:rFonts w:asciiTheme="majorHAnsi" w:hAnsiTheme="majorHAnsi" w:cstheme="majorHAnsi"/>
              </w:rPr>
              <w:t>Dataset</w:t>
            </w:r>
          </w:p>
        </w:tc>
      </w:tr>
      <w:tr w:rsidR="00673BC2" w:rsidRPr="009F0CA5" w14:paraId="4FEED4FD" w14:textId="77777777" w:rsidTr="00673BC2">
        <w:trPr>
          <w:trHeight w:val="182"/>
        </w:trPr>
        <w:tc>
          <w:tcPr>
            <w:tcW w:w="2263" w:type="dxa"/>
          </w:tcPr>
          <w:p w14:paraId="1BD7602C" w14:textId="5735F6F7" w:rsidR="00673BC2" w:rsidRPr="009F0CA5" w:rsidRDefault="00673BC2" w:rsidP="00673BC2">
            <w:pP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673BC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Formato</w:t>
            </w:r>
          </w:p>
        </w:tc>
        <w:tc>
          <w:tcPr>
            <w:tcW w:w="8193" w:type="dxa"/>
          </w:tcPr>
          <w:p w14:paraId="3091441D" w14:textId="695F5D18" w:rsidR="00673BC2" w:rsidRPr="009F0CA5" w:rsidRDefault="00673BC2" w:rsidP="00673BC2">
            <w:pPr>
              <w:rPr>
                <w:rFonts w:asciiTheme="majorHAnsi" w:hAnsiTheme="majorHAnsi" w:cstheme="majorHAnsi"/>
                <w:color w:val="000000" w:themeColor="text1"/>
                <w:kern w:val="24"/>
              </w:rPr>
            </w:pPr>
            <w:r w:rsidRPr="00004835">
              <w:rPr>
                <w:rFonts w:asciiTheme="majorHAnsi" w:hAnsiTheme="majorHAnsi" w:cstheme="majorHAnsi"/>
              </w:rPr>
              <w:t>CSV</w:t>
            </w:r>
          </w:p>
        </w:tc>
      </w:tr>
      <w:tr w:rsidR="00673BC2" w:rsidRPr="009F0CA5" w14:paraId="454B1DFE" w14:textId="77777777" w:rsidTr="00673BC2">
        <w:trPr>
          <w:trHeight w:val="200"/>
        </w:trPr>
        <w:tc>
          <w:tcPr>
            <w:tcW w:w="2263" w:type="dxa"/>
          </w:tcPr>
          <w:p w14:paraId="01966B7E" w14:textId="4C503E57" w:rsidR="00673BC2" w:rsidRPr="009F0CA5" w:rsidRDefault="00673BC2" w:rsidP="00673BC2">
            <w:pP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673BC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8193" w:type="dxa"/>
          </w:tcPr>
          <w:p w14:paraId="02A66A5D" w14:textId="58CF0236" w:rsidR="00673BC2" w:rsidRPr="009F0CA5" w:rsidRDefault="00673BC2" w:rsidP="00673BC2">
            <w:pPr>
              <w:rPr>
                <w:rFonts w:asciiTheme="majorHAnsi" w:hAnsiTheme="majorHAnsi" w:cstheme="majorHAnsi"/>
                <w:color w:val="000000" w:themeColor="text1"/>
                <w:kern w:val="24"/>
              </w:rPr>
            </w:pPr>
            <w:r w:rsidRPr="00004835">
              <w:rPr>
                <w:rFonts w:asciiTheme="majorHAnsi" w:hAnsiTheme="majorHAnsi" w:cstheme="majorHAnsi"/>
              </w:rPr>
              <w:t>Perú,</w:t>
            </w:r>
            <w:r>
              <w:rPr>
                <w:rFonts w:asciiTheme="majorHAnsi" w:hAnsiTheme="majorHAnsi" w:cstheme="majorHAnsi"/>
              </w:rPr>
              <w:t xml:space="preserve"> Departamental, primer semestre </w:t>
            </w:r>
            <w:r>
              <w:rPr>
                <w:rFonts w:asciiTheme="majorHAnsi" w:hAnsiTheme="majorHAnsi" w:cstheme="majorHAnsi"/>
              </w:rPr>
              <w:t>202</w:t>
            </w:r>
            <w:r>
              <w:rPr>
                <w:rFonts w:asciiTheme="majorHAnsi" w:hAnsiTheme="majorHAnsi" w:cstheme="majorHAnsi"/>
              </w:rPr>
              <w:t>0 al primer semestre 2023</w:t>
            </w:r>
          </w:p>
        </w:tc>
      </w:tr>
      <w:tr w:rsidR="00673BC2" w:rsidRPr="009F0CA5" w14:paraId="16B1356C" w14:textId="77777777" w:rsidTr="00673BC2">
        <w:trPr>
          <w:trHeight w:val="374"/>
        </w:trPr>
        <w:tc>
          <w:tcPr>
            <w:tcW w:w="2263" w:type="dxa"/>
          </w:tcPr>
          <w:p w14:paraId="2CF44D07" w14:textId="3D747CED" w:rsidR="00673BC2" w:rsidRPr="009F0CA5" w:rsidRDefault="00673BC2" w:rsidP="00673BC2">
            <w:pP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673BC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Correo de contacto</w:t>
            </w:r>
          </w:p>
        </w:tc>
        <w:tc>
          <w:tcPr>
            <w:tcW w:w="8193" w:type="dxa"/>
          </w:tcPr>
          <w:p w14:paraId="333BC2E9" w14:textId="6CC0B2DF" w:rsidR="00673BC2" w:rsidRPr="009F0CA5" w:rsidRDefault="00673BC2" w:rsidP="00673BC2">
            <w:pPr>
              <w:rPr>
                <w:rFonts w:asciiTheme="majorHAnsi" w:hAnsiTheme="majorHAnsi" w:cstheme="majorHAnsi"/>
                <w:color w:val="000000" w:themeColor="text1"/>
                <w:kern w:val="24"/>
              </w:rPr>
            </w:pPr>
            <w:hyperlink r:id="rId11" w:history="1">
              <w:r w:rsidRPr="00F43E82">
                <w:rPr>
                  <w:rStyle w:val="Hipervnculo"/>
                  <w:rFonts w:asciiTheme="majorHAnsi" w:hAnsiTheme="majorHAnsi" w:cstheme="majorHAnsi"/>
                </w:rPr>
                <w:t>datos-abiertos@trabajo.gob.pe</w:t>
              </w:r>
            </w:hyperlink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0E6576BC" w14:textId="4548B690" w:rsidR="009F0CA5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23687"/>
    <w:multiLevelType w:val="hybridMultilevel"/>
    <w:tmpl w:val="29C8579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B05A9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FE86EC7"/>
    <w:multiLevelType w:val="hybridMultilevel"/>
    <w:tmpl w:val="1C38F75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C60D57"/>
    <w:multiLevelType w:val="hybridMultilevel"/>
    <w:tmpl w:val="EC32D00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A2B51"/>
    <w:multiLevelType w:val="hybridMultilevel"/>
    <w:tmpl w:val="FC0025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805917">
    <w:abstractNumId w:val="6"/>
  </w:num>
  <w:num w:numId="2" w16cid:durableId="425616238">
    <w:abstractNumId w:val="4"/>
  </w:num>
  <w:num w:numId="3" w16cid:durableId="2101412667">
    <w:abstractNumId w:val="2"/>
  </w:num>
  <w:num w:numId="4" w16cid:durableId="2037348898">
    <w:abstractNumId w:val="0"/>
  </w:num>
  <w:num w:numId="5" w16cid:durableId="1035420574">
    <w:abstractNumId w:val="5"/>
  </w:num>
  <w:num w:numId="6" w16cid:durableId="50885530">
    <w:abstractNumId w:val="1"/>
  </w:num>
  <w:num w:numId="7" w16cid:durableId="1584602110">
    <w:abstractNumId w:val="8"/>
  </w:num>
  <w:num w:numId="8" w16cid:durableId="1481188709">
    <w:abstractNumId w:val="7"/>
  </w:num>
  <w:num w:numId="9" w16cid:durableId="1092899488">
    <w:abstractNumId w:val="9"/>
  </w:num>
  <w:num w:numId="10" w16cid:durableId="1384334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C77CB"/>
    <w:rsid w:val="000F5DAE"/>
    <w:rsid w:val="001212DE"/>
    <w:rsid w:val="00140636"/>
    <w:rsid w:val="00182C03"/>
    <w:rsid w:val="00182E95"/>
    <w:rsid w:val="001E620C"/>
    <w:rsid w:val="002349FB"/>
    <w:rsid w:val="00297BE5"/>
    <w:rsid w:val="00306482"/>
    <w:rsid w:val="003A2515"/>
    <w:rsid w:val="003D0AF5"/>
    <w:rsid w:val="003D6FF9"/>
    <w:rsid w:val="003E1BD4"/>
    <w:rsid w:val="003E4836"/>
    <w:rsid w:val="003F1081"/>
    <w:rsid w:val="00427E23"/>
    <w:rsid w:val="004851F3"/>
    <w:rsid w:val="0048753E"/>
    <w:rsid w:val="004A54DE"/>
    <w:rsid w:val="004E40DE"/>
    <w:rsid w:val="004F1D9B"/>
    <w:rsid w:val="0053263F"/>
    <w:rsid w:val="005F2C43"/>
    <w:rsid w:val="005F435B"/>
    <w:rsid w:val="00636A28"/>
    <w:rsid w:val="00647FB5"/>
    <w:rsid w:val="00673BC2"/>
    <w:rsid w:val="00682CD5"/>
    <w:rsid w:val="006E43D9"/>
    <w:rsid w:val="0070589E"/>
    <w:rsid w:val="00717CED"/>
    <w:rsid w:val="007840A6"/>
    <w:rsid w:val="00791181"/>
    <w:rsid w:val="007975F1"/>
    <w:rsid w:val="008132B5"/>
    <w:rsid w:val="00876384"/>
    <w:rsid w:val="00904DBB"/>
    <w:rsid w:val="009379D2"/>
    <w:rsid w:val="0095347C"/>
    <w:rsid w:val="00962F24"/>
    <w:rsid w:val="00966BAE"/>
    <w:rsid w:val="009A47B5"/>
    <w:rsid w:val="009A7FF5"/>
    <w:rsid w:val="009B0AA2"/>
    <w:rsid w:val="009F0CA5"/>
    <w:rsid w:val="00A1779F"/>
    <w:rsid w:val="00A9430F"/>
    <w:rsid w:val="00B27C25"/>
    <w:rsid w:val="00B40B2E"/>
    <w:rsid w:val="00B6616D"/>
    <w:rsid w:val="00C728B6"/>
    <w:rsid w:val="00C961F8"/>
    <w:rsid w:val="00CE1C9F"/>
    <w:rsid w:val="00D00322"/>
    <w:rsid w:val="00D5559D"/>
    <w:rsid w:val="00D7096E"/>
    <w:rsid w:val="00D957C7"/>
    <w:rsid w:val="00D96A6B"/>
    <w:rsid w:val="00DA6578"/>
    <w:rsid w:val="00E26800"/>
    <w:rsid w:val="00E4102F"/>
    <w:rsid w:val="00F53268"/>
    <w:rsid w:val="00F65A19"/>
    <w:rsid w:val="00F66923"/>
    <w:rsid w:val="00F71199"/>
    <w:rsid w:val="00F85364"/>
    <w:rsid w:val="00FA048A"/>
    <w:rsid w:val="00FC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0F5D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5DA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5DA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5D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5D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2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ientacion.sunat.gob.pe/7086-12-tablas-parametrica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orientacion.sunat.gob.pe/informacion-general-planilla-electronic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atosabiertos.gob.pe/dataset/puestos-de-trabajo-registrados-en-el-sector-formal-asalariado-privado-2020-2021-ministerio" TargetMode="External"/><Relationship Id="rId11" Type="http://schemas.openxmlformats.org/officeDocument/2006/relationships/hyperlink" Target="mailto:datos-abiertos@trabajo.gob.p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pendefinition.org/licenses/odc-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2.trabajo.gob.pe/promocion-del-empleo-y-autoempleo/informacion-del-mercado-de-trabajo/nforme-mensual-del-empleo-privado-forma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912A1-8081-49C7-B4E2-8E9A93D61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623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David Joel Esparta Polanco</cp:lastModifiedBy>
  <cp:revision>13</cp:revision>
  <dcterms:created xsi:type="dcterms:W3CDTF">2021-07-23T14:29:00Z</dcterms:created>
  <dcterms:modified xsi:type="dcterms:W3CDTF">2024-09-04T18:56:00Z</dcterms:modified>
</cp:coreProperties>
</file>