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07D88FD8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 xml:space="preserve">Metadatos del </w:t>
      </w:r>
      <w:proofErr w:type="spellStart"/>
      <w:r w:rsidRPr="003C7CC1">
        <w:rPr>
          <w:rFonts w:ascii="Aptos" w:hAnsi="Aptos" w:cstheme="majorHAnsi"/>
        </w:rPr>
        <w:t>dataset</w:t>
      </w:r>
      <w:proofErr w:type="spellEnd"/>
      <w:r w:rsidR="0003483E" w:rsidRPr="003C7CC1">
        <w:rPr>
          <w:rFonts w:ascii="Aptos" w:hAnsi="Aptos" w:cstheme="majorHAnsi"/>
        </w:rPr>
        <w:t>: AUTORIDADES</w:t>
      </w:r>
      <w:r w:rsidR="0003483E">
        <w:rPr>
          <w:rFonts w:ascii="Aptos" w:hAnsi="Aptos" w:cstheme="majorHAnsi"/>
        </w:rPr>
        <w:t xml:space="preserve"> VIGENTES - JURADO NACIONAL DE ELECCIONES</w:t>
      </w:r>
      <w:r w:rsidR="003C7CC1" w:rsidRPr="003C7CC1">
        <w:rPr>
          <w:rFonts w:ascii="Aptos" w:hAnsi="Aptos" w:cstheme="majorHAnsi"/>
        </w:rPr>
        <w:t xml:space="preserve"> - </w:t>
      </w:r>
      <w:r w:rsidR="0003483E">
        <w:rPr>
          <w:rFonts w:ascii="Aptos" w:hAnsi="Aptos" w:cstheme="majorHAnsi"/>
        </w:rPr>
        <w:t>JNE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47D0C94" w:rsidR="00504D0A" w:rsidRPr="003C7CC1" w:rsidRDefault="0003483E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Autoridades Vigentes 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Pr="003C7CC1" w:rsidRDefault="00504D0A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03483E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Pr="003C7CC1" w:rsidRDefault="00504D0A" w:rsidP="00504D0A">
            <w:pPr>
              <w:rPr>
                <w:rFonts w:ascii="Aptos" w:hAnsi="Aptos" w:cstheme="majorHAnsi"/>
              </w:rPr>
            </w:pPr>
          </w:p>
          <w:p w14:paraId="2587B459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46EB52E7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3628FB2C" w14:textId="77777777" w:rsidR="0003483E" w:rsidRPr="0003483E" w:rsidRDefault="0003483E" w:rsidP="0003483E">
            <w:pPr>
              <w:rPr>
                <w:rFonts w:ascii="Aptos" w:hAnsi="Aptos" w:cstheme="majorHAnsi"/>
              </w:rPr>
            </w:pPr>
            <w:r w:rsidRPr="0003483E">
              <w:rPr>
                <w:rFonts w:ascii="Aptos" w:hAnsi="Aptos" w:cstheme="majorHAnsi"/>
              </w:rPr>
              <w:t xml:space="preserve">Este </w:t>
            </w:r>
            <w:proofErr w:type="spellStart"/>
            <w:r w:rsidRPr="0003483E">
              <w:rPr>
                <w:rFonts w:ascii="Aptos" w:hAnsi="Aptos" w:cstheme="majorHAnsi"/>
              </w:rPr>
              <w:t>dataset</w:t>
            </w:r>
            <w:proofErr w:type="spellEnd"/>
            <w:r w:rsidRPr="0003483E">
              <w:rPr>
                <w:rFonts w:ascii="Aptos" w:hAnsi="Aptos" w:cstheme="majorHAnsi"/>
              </w:rPr>
              <w:t xml:space="preserve"> contiene información actualizada sobre las autoridades que se encuentran actualmente en funciones, independientemente de si fueron originalmente electas en los procesos electorales correspondientes. Dado que pueden producirse cambios posteriores a la elección —por razones jurídicas, administrativas, personales o de fuerza mayor—, esta base de datos refleja la composición real y vigente de los cargos públicos.</w:t>
            </w:r>
          </w:p>
          <w:p w14:paraId="15C7A8A8" w14:textId="77777777" w:rsidR="0003483E" w:rsidRDefault="0003483E" w:rsidP="0003483E">
            <w:pPr>
              <w:rPr>
                <w:rFonts w:ascii="Aptos" w:hAnsi="Aptos" w:cstheme="majorHAnsi"/>
              </w:rPr>
            </w:pPr>
          </w:p>
          <w:p w14:paraId="39DAC826" w14:textId="77777777" w:rsidR="0003483E" w:rsidRDefault="0003483E" w:rsidP="0003483E">
            <w:pPr>
              <w:rPr>
                <w:rFonts w:ascii="Aptos" w:hAnsi="Aptos" w:cstheme="majorHAnsi"/>
              </w:rPr>
            </w:pPr>
          </w:p>
          <w:p w14:paraId="193D2FC0" w14:textId="77777777" w:rsidR="0003483E" w:rsidRPr="0003483E" w:rsidRDefault="0003483E" w:rsidP="0003483E">
            <w:pPr>
              <w:rPr>
                <w:rFonts w:ascii="Aptos" w:hAnsi="Aptos" w:cstheme="majorHAnsi"/>
              </w:rPr>
            </w:pPr>
          </w:p>
          <w:p w14:paraId="1EF24611" w14:textId="279DF47F" w:rsidR="00CD25C2" w:rsidRPr="003C7CC1" w:rsidRDefault="0003483E" w:rsidP="0003483E">
            <w:pPr>
              <w:rPr>
                <w:rFonts w:ascii="Aptos" w:hAnsi="Aptos" w:cstheme="majorHAnsi"/>
              </w:rPr>
            </w:pPr>
            <w:r w:rsidRPr="0003483E">
              <w:rPr>
                <w:rFonts w:ascii="Aptos" w:hAnsi="Aptos" w:cstheme="majorHAnsi"/>
              </w:rPr>
              <w:t xml:space="preserve">Este </w:t>
            </w:r>
            <w:proofErr w:type="spellStart"/>
            <w:r w:rsidRPr="0003483E">
              <w:rPr>
                <w:rFonts w:ascii="Aptos" w:hAnsi="Aptos" w:cstheme="majorHAnsi"/>
              </w:rPr>
              <w:t>dataset</w:t>
            </w:r>
            <w:proofErr w:type="spellEnd"/>
            <w:r w:rsidRPr="0003483E">
              <w:rPr>
                <w:rFonts w:ascii="Aptos" w:hAnsi="Aptos" w:cstheme="majorHAnsi"/>
              </w:rPr>
              <w:t xml:space="preserve"> es esencial para brindar una visión precisa y actualizada del escenario político-administrativo, y resulta útil para instituciones públicas, organizaciones de la sociedad civil, periodistas, investigadores y ciudadanía en general que deseen realizar análisis sobre la representación política y la dinámica institucional en tiempo real.</w:t>
            </w:r>
          </w:p>
          <w:p w14:paraId="17582CB0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06895F2A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32A4C53E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1EF74657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5F820855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36F150E9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0C7B7D58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091624D4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6A331946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2CEF9AA7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5B6FFF53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73E2B8DB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1768E929" w14:textId="72A30AD0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20B4D0" w:rsidR="00504D0A" w:rsidRPr="003C7CC1" w:rsidRDefault="0003483E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Jurado Nacional de Elecciones 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391713C" w:rsidR="00504D0A" w:rsidRPr="003C7CC1" w:rsidRDefault="0003483E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Sistema Integrado Jurisdiccional de Expedientes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4767AAB0" w:rsidR="00504D0A" w:rsidRPr="003C7CC1" w:rsidRDefault="0003483E" w:rsidP="0003483E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Autoridades vigentes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7777777" w:rsidR="00504D0A" w:rsidRPr="003C7CC1" w:rsidRDefault="00504D0A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F69E29A" w:rsidR="00504D0A" w:rsidRPr="003C7CC1" w:rsidRDefault="0003483E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Mensual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171120F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8507F7">
              <w:rPr>
                <w:rFonts w:ascii="Aptos" w:hAnsi="Aptos" w:cstheme="majorHAnsi"/>
                <w:color w:val="000000" w:themeColor="text1"/>
                <w:kern w:val="24"/>
              </w:rPr>
              <w:t>5-28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, 20:00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C220D39" w:rsidR="00CD25C2" w:rsidRPr="003C7CC1" w:rsidRDefault="008507F7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1.0</w:t>
            </w:r>
          </w:p>
        </w:tc>
      </w:tr>
      <w:tr w:rsidR="00CD25C2" w:rsidRPr="002E129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DC6FEF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="00CD25C2"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proofErr w:type="spellStart"/>
            <w:r w:rsidRPr="003C7CC1">
              <w:rPr>
                <w:rFonts w:ascii="Aptos" w:hAnsi="Aptos" w:cstheme="majorHAnsi"/>
              </w:rPr>
              <w:t>Dataset</w:t>
            </w:r>
            <w:proofErr w:type="spellEnd"/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ECC3E4E" w:rsidR="00CD25C2" w:rsidRPr="003C7CC1" w:rsidRDefault="00DC6FEF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XLS</w:t>
            </w:r>
            <w:bookmarkStart w:id="0" w:name="_GoBack"/>
            <w:bookmarkEnd w:id="0"/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F8A5A36" w:rsidR="00CD25C2" w:rsidRPr="003C7CC1" w:rsidRDefault="00CD25C2" w:rsidP="00CD25C2">
            <w:pPr>
              <w:rPr>
                <w:rFonts w:ascii="Aptos" w:hAnsi="Aptos" w:cstheme="majorHAnsi"/>
              </w:rPr>
            </w:pP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BDDABA7" w:rsidR="00CD25C2" w:rsidRPr="003C7CC1" w:rsidRDefault="0003483E" w:rsidP="00CD25C2">
            <w:pPr>
              <w:rPr>
                <w:rFonts w:ascii="Aptos" w:hAnsi="Aptos" w:cstheme="majorHAnsi"/>
              </w:rPr>
            </w:pPr>
            <w:r w:rsidRPr="0003483E">
              <w:rPr>
                <w:rFonts w:ascii="Aptos" w:hAnsi="Aptos" w:cstheme="majorHAnsi"/>
              </w:rPr>
              <w:t>pguevara@jne.gob.pe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3483E"/>
    <w:rsid w:val="00116DF8"/>
    <w:rsid w:val="00182C03"/>
    <w:rsid w:val="0020585A"/>
    <w:rsid w:val="00297BE5"/>
    <w:rsid w:val="002E129A"/>
    <w:rsid w:val="00306482"/>
    <w:rsid w:val="003C7CC1"/>
    <w:rsid w:val="003D0AF5"/>
    <w:rsid w:val="003D6FF9"/>
    <w:rsid w:val="003E4836"/>
    <w:rsid w:val="0048753E"/>
    <w:rsid w:val="004E0032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507F7"/>
    <w:rsid w:val="00876384"/>
    <w:rsid w:val="00904DBB"/>
    <w:rsid w:val="009379D2"/>
    <w:rsid w:val="0095347C"/>
    <w:rsid w:val="00962F24"/>
    <w:rsid w:val="00970F61"/>
    <w:rsid w:val="009A7FF5"/>
    <w:rsid w:val="009B0AA2"/>
    <w:rsid w:val="009F0CA5"/>
    <w:rsid w:val="00A76533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DC6FEF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Juan Alexander Alegria Mendoza</cp:lastModifiedBy>
  <cp:revision>5</cp:revision>
  <dcterms:created xsi:type="dcterms:W3CDTF">2025-05-29T16:09:00Z</dcterms:created>
  <dcterms:modified xsi:type="dcterms:W3CDTF">2025-05-29T19:23:00Z</dcterms:modified>
</cp:coreProperties>
</file>