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51137060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dataset: </w:t>
      </w:r>
      <w:r w:rsidR="0050617D">
        <w:rPr>
          <w:rFonts w:ascii="Arial" w:eastAsia="Times New Roman" w:hAnsi="Arial" w:cs="Arial"/>
          <w:color w:val="000000"/>
          <w:lang w:val="es-ES" w:eastAsia="es-ES"/>
        </w:rPr>
        <w:t>Visitas de Ciudadanos a la Gran Biblioteca Pública de Lima y Estaciones de Bibliotecas Públicas</w:t>
      </w:r>
      <w:r w:rsidR="00E556CC" w:rsidRPr="00E556CC">
        <w:rPr>
          <w:rFonts w:ascii="Arial" w:eastAsia="Times New Roman" w:hAnsi="Arial" w:cs="Arial"/>
          <w:color w:val="000000"/>
          <w:lang w:val="es-ES" w:eastAsia="es-ES"/>
        </w:rPr>
        <w:t xml:space="preserve"> -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2FCEC5F9" w:rsidR="00611006" w:rsidRPr="00E556CC" w:rsidRDefault="00220AC1" w:rsidP="008A09B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Visitas de Ciudadanos a la Gran Biblioteca Pública de Lima y Estaciones de Bibliotecas Públicas</w:t>
            </w:r>
            <w:r w:rsidRPr="00E556CC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-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188829A2" w:rsidR="00611006" w:rsidRDefault="00611006" w:rsidP="00DC3853">
            <w:pPr>
              <w:rPr>
                <w:rFonts w:ascii="Arial" w:eastAsia="Arial" w:hAnsi="Arial" w:cs="Arial"/>
              </w:rPr>
            </w:pP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0C12E5DF" w14:textId="74DABFF9" w:rsidR="008A09B6" w:rsidRDefault="00764D11" w:rsidP="00A70B0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Contiene los datos</w:t>
            </w:r>
            <w:r w:rsidR="00143BF3">
              <w:rPr>
                <w:rFonts w:asciiTheme="majorHAnsi" w:hAnsiTheme="majorHAnsi" w:cstheme="majorHAnsi"/>
              </w:rPr>
              <w:t xml:space="preserve"> del ingreso de ciudadanos </w:t>
            </w:r>
            <w:r w:rsidR="00143BF3">
              <w:rPr>
                <w:rFonts w:ascii="Arial" w:eastAsia="Times New Roman" w:hAnsi="Arial" w:cs="Arial"/>
                <w:color w:val="000000"/>
                <w:lang w:val="es-ES" w:eastAsia="es-ES"/>
              </w:rPr>
              <w:t>a la Gran Biblioteca Pública de Lima y Estaciones de Bibliotecas Públicas</w:t>
            </w:r>
            <w:r w:rsidR="00143BF3" w:rsidRPr="00577358">
              <w:rPr>
                <w:rFonts w:asciiTheme="majorHAnsi" w:hAnsiTheme="majorHAnsi" w:cstheme="majorHAnsi"/>
              </w:rPr>
              <w:t xml:space="preserve"> </w:t>
            </w:r>
          </w:p>
          <w:p w14:paraId="07039A30" w14:textId="77777777" w:rsidR="00143BF3" w:rsidRPr="00577358" w:rsidRDefault="00143BF3" w:rsidP="00A70B02">
            <w:pPr>
              <w:jc w:val="both"/>
              <w:rPr>
                <w:rFonts w:asciiTheme="majorHAnsi" w:hAnsiTheme="majorHAnsi" w:cstheme="majorHAnsi"/>
              </w:rPr>
            </w:pPr>
          </w:p>
          <w:p w14:paraId="4F7C38ED" w14:textId="77777777" w:rsidR="00577358" w:rsidRPr="00577358" w:rsidRDefault="00A70B02" w:rsidP="00341E82">
            <w:pPr>
              <w:jc w:val="both"/>
              <w:rPr>
                <w:rFonts w:asciiTheme="majorHAnsi" w:hAnsiTheme="majorHAnsi" w:cstheme="majorHAnsi"/>
              </w:rPr>
            </w:pPr>
            <w:r w:rsidRPr="00577358">
              <w:rPr>
                <w:rFonts w:asciiTheme="majorHAnsi" w:hAnsiTheme="majorHAnsi" w:cstheme="majorHAnsi"/>
              </w:rPr>
              <w:t>Esta</w:t>
            </w:r>
            <w:r w:rsidR="00927CF0" w:rsidRPr="00577358">
              <w:rPr>
                <w:rFonts w:asciiTheme="majorHAnsi" w:hAnsiTheme="majorHAnsi" w:cstheme="majorHAnsi"/>
              </w:rPr>
              <w:t xml:space="preserve"> información contiene</w:t>
            </w:r>
            <w:r w:rsidR="00577358" w:rsidRPr="00577358">
              <w:rPr>
                <w:rFonts w:asciiTheme="majorHAnsi" w:hAnsiTheme="majorHAnsi" w:cstheme="majorHAnsi"/>
              </w:rPr>
              <w:t>:</w:t>
            </w:r>
          </w:p>
          <w:p w14:paraId="0FFD6387" w14:textId="5CE7847F" w:rsidR="00577358" w:rsidRDefault="00143BF3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5D51FAF1" w14:textId="66B38BFD" w:rsidR="00143BF3" w:rsidRDefault="00143BF3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visita</w:t>
            </w:r>
          </w:p>
          <w:p w14:paraId="110E48F9" w14:textId="169D6FC2" w:rsidR="00143BF3" w:rsidRPr="00577358" w:rsidRDefault="00D51512" w:rsidP="005773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documento de identidad, número de d</w:t>
            </w:r>
            <w:r w:rsidR="00143BF3">
              <w:rPr>
                <w:rFonts w:asciiTheme="majorHAnsi" w:hAnsiTheme="majorHAnsi" w:cstheme="majorHAnsi"/>
                <w:sz w:val="22"/>
                <w:szCs w:val="22"/>
              </w:rPr>
              <w:t>ocumento de identidad anonimizado, fecha de nacimiento, sexo, departamento, provincia, distrito, tipo discapacidad, etnia</w:t>
            </w:r>
            <w:r w:rsidR="00FE1E9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143BF3">
              <w:rPr>
                <w:rFonts w:asciiTheme="majorHAnsi" w:hAnsiTheme="majorHAnsi" w:cstheme="majorHAnsi"/>
                <w:sz w:val="22"/>
                <w:szCs w:val="22"/>
              </w:rPr>
              <w:t>lengua materna</w:t>
            </w:r>
            <w:r w:rsidR="00FE1E99">
              <w:rPr>
                <w:rFonts w:asciiTheme="majorHAnsi" w:hAnsiTheme="majorHAnsi" w:cstheme="majorHAnsi"/>
                <w:sz w:val="22"/>
                <w:szCs w:val="22"/>
              </w:rPr>
              <w:t xml:space="preserve"> y el tipo de usuario.</w:t>
            </w:r>
          </w:p>
          <w:p w14:paraId="67D48AD6" w14:textId="2B3ACB56" w:rsidR="00611006" w:rsidRDefault="00611006" w:rsidP="00143BF3">
            <w:pPr>
              <w:pStyle w:val="Prrafodelista"/>
              <w:jc w:val="both"/>
              <w:rPr>
                <w:rFonts w:ascii="Arial" w:eastAsia="Arial" w:hAnsi="Arial" w:cs="Arial"/>
              </w:rPr>
            </w:pP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6C1226AF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2B4FB67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y Estadística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78B5281B" w:rsidR="00611006" w:rsidRDefault="00A950FF" w:rsidP="00A950FF">
            <w:pPr>
              <w:rPr>
                <w:rFonts w:ascii="Arial" w:eastAsia="Arial" w:hAnsi="Arial" w:cs="Arial"/>
              </w:rPr>
            </w:pPr>
            <w:r>
              <w:t>Visitas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3A1750E5" w:rsidR="00611006" w:rsidRDefault="000A5028" w:rsidP="00A950FF">
            <w:r>
              <w:t>202</w:t>
            </w:r>
            <w:r w:rsidR="00FF1F49">
              <w:t>5</w:t>
            </w:r>
            <w:r w:rsidR="00372774" w:rsidRPr="002B7ACB">
              <w:t>-</w:t>
            </w:r>
            <w:r w:rsidR="00FF1F49">
              <w:t>06</w:t>
            </w:r>
            <w:r w:rsidR="00E556CC" w:rsidRPr="002B7ACB">
              <w:t>-</w:t>
            </w:r>
            <w:r w:rsidR="00FF1F49">
              <w:t>12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63CEF8B1" w:rsidR="00611006" w:rsidRDefault="009A1F1C">
            <w:r>
              <w:t>Semestral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0C7B1AB7" w:rsidR="00611006" w:rsidRDefault="00A950FF" w:rsidP="00372774">
            <w:r>
              <w:t>2023</w:t>
            </w:r>
            <w:r w:rsidR="00FF1F49" w:rsidRPr="002B7ACB">
              <w:t>-</w:t>
            </w:r>
            <w:r w:rsidR="00FF1F49">
              <w:t>06</w:t>
            </w:r>
            <w:r w:rsidR="00FF1F49" w:rsidRPr="002B7ACB">
              <w:t>-</w:t>
            </w:r>
            <w:r w:rsidR="00FF1F49">
              <w:t>12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611006" w:rsidRPr="00FE1E99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57626160" w:rsidR="00611006" w:rsidRPr="00874161" w:rsidRDefault="008042B0">
            <w:pPr>
              <w:rPr>
                <w:lang w:val="en-US"/>
              </w:rPr>
            </w:pPr>
            <w:hyperlink r:id="rId6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2B666809" w:rsidR="00611006" w:rsidRDefault="000A5028" w:rsidP="0046606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Perú, 202</w:t>
            </w:r>
            <w:r w:rsidR="00466068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-202</w:t>
            </w:r>
            <w:r w:rsidR="00D27EDC">
              <w:rPr>
                <w:rFonts w:ascii="Arial" w:eastAsia="Arial" w:hAnsi="Arial" w:cs="Arial"/>
              </w:rPr>
              <w:t>5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EBE"/>
    <w:multiLevelType w:val="hybridMultilevel"/>
    <w:tmpl w:val="3B42A9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0A5028"/>
    <w:rsid w:val="00143BF3"/>
    <w:rsid w:val="00192FEF"/>
    <w:rsid w:val="00196620"/>
    <w:rsid w:val="001C5EE8"/>
    <w:rsid w:val="00220AC1"/>
    <w:rsid w:val="002316C5"/>
    <w:rsid w:val="00261098"/>
    <w:rsid w:val="002B7ACB"/>
    <w:rsid w:val="002D40AF"/>
    <w:rsid w:val="00341E82"/>
    <w:rsid w:val="00372774"/>
    <w:rsid w:val="004018E7"/>
    <w:rsid w:val="004038B9"/>
    <w:rsid w:val="00466068"/>
    <w:rsid w:val="0050617D"/>
    <w:rsid w:val="005071D9"/>
    <w:rsid w:val="00577358"/>
    <w:rsid w:val="0060454D"/>
    <w:rsid w:val="00611006"/>
    <w:rsid w:val="00764D11"/>
    <w:rsid w:val="00784CF1"/>
    <w:rsid w:val="008042B0"/>
    <w:rsid w:val="00874161"/>
    <w:rsid w:val="008A09B6"/>
    <w:rsid w:val="00927CF0"/>
    <w:rsid w:val="009A1F1C"/>
    <w:rsid w:val="009E66D0"/>
    <w:rsid w:val="00A24577"/>
    <w:rsid w:val="00A70B02"/>
    <w:rsid w:val="00A950FF"/>
    <w:rsid w:val="00C43552"/>
    <w:rsid w:val="00D27EDC"/>
    <w:rsid w:val="00D51512"/>
    <w:rsid w:val="00D777DE"/>
    <w:rsid w:val="00DC3853"/>
    <w:rsid w:val="00E556CC"/>
    <w:rsid w:val="00EA279A"/>
    <w:rsid w:val="00EB3E9F"/>
    <w:rsid w:val="00FC4FF9"/>
    <w:rsid w:val="00FE1E99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04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Jeremy Mike Farfan Sanchez</cp:lastModifiedBy>
  <cp:revision>32</cp:revision>
  <dcterms:created xsi:type="dcterms:W3CDTF">2022-11-16T16:02:00Z</dcterms:created>
  <dcterms:modified xsi:type="dcterms:W3CDTF">2025-06-12T19:34:00Z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