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9928C" w14:textId="77777777" w:rsidR="00674D74" w:rsidRDefault="00000000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METADATOS</w:t>
      </w:r>
    </w:p>
    <w:p w14:paraId="69D7E357" w14:textId="77777777" w:rsidR="00674D74" w:rsidRDefault="00674D74"/>
    <w:p w14:paraId="1A3982AF" w14:textId="174804AE" w:rsidR="00674D74" w:rsidRDefault="00000000">
      <w:r>
        <w:t xml:space="preserve">Metadatos del </w:t>
      </w:r>
      <w:proofErr w:type="spellStart"/>
      <w:r>
        <w:t>dataset</w:t>
      </w:r>
      <w:proofErr w:type="spellEnd"/>
      <w:r>
        <w:t xml:space="preserve">:  Datos de carbono negro en la cordillera </w:t>
      </w:r>
      <w:proofErr w:type="spellStart"/>
      <w:r>
        <w:t>Huaytapalla</w:t>
      </w:r>
      <w:proofErr w:type="spellEnd"/>
      <w:r>
        <w:t xml:space="preserve"> en el Centro de Monitoreo de Glaciares y Ecosistemas de Montaña (CEMGEM) Huancayo, </w:t>
      </w:r>
      <w:proofErr w:type="spellStart"/>
      <w:r>
        <w:t>Junin</w:t>
      </w:r>
      <w:proofErr w:type="spellEnd"/>
      <w:r>
        <w:t xml:space="preserve"> - [Instituto Nacional de Investigación en Glaciares y Ecosistemas de Montaña - INAIGEM].</w:t>
      </w:r>
    </w:p>
    <w:tbl>
      <w:tblPr>
        <w:tblStyle w:val="a"/>
        <w:tblW w:w="10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00"/>
        <w:gridCol w:w="7455"/>
      </w:tblGrid>
      <w:tr w:rsidR="00674D74" w14:paraId="76FF4CB6" w14:textId="77777777">
        <w:tc>
          <w:tcPr>
            <w:tcW w:w="3000" w:type="dxa"/>
            <w:vAlign w:val="center"/>
          </w:tcPr>
          <w:p w14:paraId="2B5733A4" w14:textId="77777777" w:rsidR="00674D74" w:rsidRDefault="00000000">
            <w:r>
              <w:rPr>
                <w:b/>
                <w:sz w:val="20"/>
                <w:szCs w:val="20"/>
              </w:rPr>
              <w:t>Título</w:t>
            </w:r>
          </w:p>
        </w:tc>
        <w:tc>
          <w:tcPr>
            <w:tcW w:w="7455" w:type="dxa"/>
          </w:tcPr>
          <w:p w14:paraId="4B64D9AB" w14:textId="1F566191" w:rsidR="00674D74" w:rsidRDefault="00000000">
            <w:r>
              <w:t xml:space="preserve">Datos de carbono negro en la cordillera </w:t>
            </w:r>
            <w:proofErr w:type="spellStart"/>
            <w:r>
              <w:t>Huaytapalla</w:t>
            </w:r>
            <w:proofErr w:type="spellEnd"/>
            <w:r>
              <w:t xml:space="preserve"> en el Centro de Monitoreo de Glaciares y Ecosistemas de Montaña (CEMGEM) distrito y provincia de Huancayo, </w:t>
            </w:r>
            <w:proofErr w:type="spellStart"/>
            <w:r>
              <w:t>Junin</w:t>
            </w:r>
            <w:proofErr w:type="spellEnd"/>
            <w:r>
              <w:t xml:space="preserve"> - [Instituto Nacional de Investigación en Glaciares y Ecosistemas de Montaña - INAIGEM]</w:t>
            </w:r>
          </w:p>
        </w:tc>
      </w:tr>
      <w:tr w:rsidR="00674D74" w14:paraId="58AA9052" w14:textId="77777777">
        <w:tc>
          <w:tcPr>
            <w:tcW w:w="3000" w:type="dxa"/>
            <w:vAlign w:val="center"/>
          </w:tcPr>
          <w:p w14:paraId="3B2EC8EB" w14:textId="77777777" w:rsidR="00674D74" w:rsidRDefault="00000000">
            <w:r>
              <w:rPr>
                <w:b/>
                <w:sz w:val="20"/>
                <w:szCs w:val="20"/>
              </w:rPr>
              <w:t>Título URL Descripción</w:t>
            </w:r>
          </w:p>
        </w:tc>
        <w:tc>
          <w:tcPr>
            <w:tcW w:w="7455" w:type="dxa"/>
          </w:tcPr>
          <w:p w14:paraId="0CDEC14E" w14:textId="4F0B8427" w:rsidR="00674D74" w:rsidRDefault="00524D65">
            <w:r w:rsidRPr="00524D65">
              <w:t>https://www.datosabiertos.gob.pe/dataset/datos-de-carbono-negro-en-la-cordillera-huaytapalla-en-el-centro-de-monitoreo-de-glaciares-y</w:t>
            </w:r>
          </w:p>
        </w:tc>
      </w:tr>
      <w:tr w:rsidR="00674D74" w14:paraId="36E45F6B" w14:textId="77777777">
        <w:tc>
          <w:tcPr>
            <w:tcW w:w="3000" w:type="dxa"/>
            <w:vAlign w:val="center"/>
          </w:tcPr>
          <w:p w14:paraId="226F8277" w14:textId="77777777" w:rsidR="00674D74" w:rsidRDefault="00000000">
            <w:r>
              <w:rPr>
                <w:b/>
                <w:sz w:val="20"/>
                <w:szCs w:val="20"/>
              </w:rPr>
              <w:t>Descripción</w:t>
            </w:r>
          </w:p>
        </w:tc>
        <w:tc>
          <w:tcPr>
            <w:tcW w:w="7455" w:type="dxa"/>
          </w:tcPr>
          <w:p w14:paraId="2AECDF8E" w14:textId="412BBCFF" w:rsidR="00674D74" w:rsidRDefault="00000000" w:rsidP="00C16F7D">
            <w:pPr>
              <w:jc w:val="both"/>
            </w:pPr>
            <w:r>
              <w:t xml:space="preserve">Esta base de datos contiene registros de concentraciones de carbono negro, medidos en el nevado </w:t>
            </w:r>
            <w:proofErr w:type="spellStart"/>
            <w:r>
              <w:t>Huaytapallana</w:t>
            </w:r>
            <w:proofErr w:type="spellEnd"/>
            <w:r>
              <w:t xml:space="preserve">, en la provincia de Huancayo, región Junín, Perú. Los datos fueron recolectados entre los años 2022 y 2024 utilizando un </w:t>
            </w:r>
            <w:r w:rsidR="00006C33">
              <w:t>AETHALÓMETRO</w:t>
            </w:r>
            <w:r>
              <w:t xml:space="preserve"> AE33 de la marca </w:t>
            </w:r>
            <w:r w:rsidR="00006C33">
              <w:t>MAGEE SCIENTIFIC CORPORATION</w:t>
            </w:r>
            <w:r>
              <w:t xml:space="preserve">. </w:t>
            </w:r>
          </w:p>
          <w:p w14:paraId="5C4919A2" w14:textId="77777777" w:rsidR="00674D74" w:rsidRDefault="00000000" w:rsidP="00C16F7D">
            <w:pPr>
              <w:jc w:val="both"/>
            </w:pPr>
            <w:r>
              <w:t>El conjunto de datos posee una resolución temporal de 1 minuto, lo que permite un análisis detallado de los eventos de contaminación atmosférica. Las variables incluyen mediciones de:</w:t>
            </w:r>
          </w:p>
          <w:p w14:paraId="7B694DE4" w14:textId="29541A49" w:rsidR="00674D74" w:rsidRDefault="00000000" w:rsidP="00C16F7D">
            <w:pPr>
              <w:jc w:val="both"/>
            </w:pPr>
            <w:r>
              <w:t xml:space="preserve">BC: </w:t>
            </w:r>
            <w:r w:rsidR="00BA4122">
              <w:t xml:space="preserve">BLACK CARBON </w:t>
            </w:r>
            <w:r>
              <w:t>(carbono negro). Unidad: ng/m3</w:t>
            </w:r>
          </w:p>
          <w:p w14:paraId="11DE0F34" w14:textId="7584C4EE" w:rsidR="00674D74" w:rsidRDefault="00000000" w:rsidP="00C16F7D">
            <w:pPr>
              <w:jc w:val="both"/>
            </w:pPr>
            <w:r>
              <w:t xml:space="preserve">BB: </w:t>
            </w:r>
            <w:r w:rsidR="00BA4122">
              <w:t xml:space="preserve">BROWN CARBON </w:t>
            </w:r>
            <w:r>
              <w:t>(carbono marrón). Unidad: ng/m3</w:t>
            </w:r>
          </w:p>
          <w:p w14:paraId="0EF9FC9C" w14:textId="25A66CBC" w:rsidR="00674D74" w:rsidRDefault="00000000" w:rsidP="00C16F7D">
            <w:pPr>
              <w:jc w:val="both"/>
            </w:pPr>
            <w:r>
              <w:t xml:space="preserve">BC1: </w:t>
            </w:r>
            <w:r w:rsidR="00BA4122">
              <w:t xml:space="preserve">CORRESPONDE AL SPOT A </w:t>
            </w:r>
            <w:r>
              <w:t>(donde se acumulan las partículas)</w:t>
            </w:r>
            <w:r w:rsidR="005B4D2E">
              <w:t xml:space="preserve"> </w:t>
            </w:r>
            <w:r w:rsidR="00875F17">
              <w:t>ng/m3</w:t>
            </w:r>
            <w:r>
              <w:t>.</w:t>
            </w:r>
          </w:p>
          <w:p w14:paraId="275CA16C" w14:textId="56B7F7E7" w:rsidR="00674D74" w:rsidRDefault="00000000" w:rsidP="00C16F7D">
            <w:pPr>
              <w:jc w:val="both"/>
            </w:pPr>
            <w:r>
              <w:t xml:space="preserve">BC2: </w:t>
            </w:r>
            <w:r w:rsidR="00BA4122">
              <w:t xml:space="preserve">CORRESPONDE AL SPOT B </w:t>
            </w:r>
            <w:r>
              <w:t xml:space="preserve">(usado para corrección en tiempo real del </w:t>
            </w:r>
            <w:proofErr w:type="spellStart"/>
            <w:r>
              <w:t>loading</w:t>
            </w:r>
            <w:proofErr w:type="spellEnd"/>
            <w:r>
              <w:t xml:space="preserve"> </w:t>
            </w:r>
            <w:proofErr w:type="spellStart"/>
            <w:r>
              <w:t>effect</w:t>
            </w:r>
            <w:proofErr w:type="spellEnd"/>
            <w:r>
              <w:t>)</w:t>
            </w:r>
            <w:r w:rsidR="00875F17">
              <w:t xml:space="preserve"> ng/m3.</w:t>
            </w:r>
          </w:p>
          <w:p w14:paraId="27A98148" w14:textId="2DFB237F" w:rsidR="00674D74" w:rsidRDefault="00000000" w:rsidP="00C16F7D">
            <w:pPr>
              <w:jc w:val="both"/>
            </w:pPr>
            <w:r>
              <w:t xml:space="preserve">K6: </w:t>
            </w:r>
            <w:r w:rsidR="00BA4122">
              <w:t>FACTOR DE COMPENSACIÓN DEL LOADING EFFECT</w:t>
            </w:r>
          </w:p>
          <w:p w14:paraId="2CD160DA" w14:textId="4CC033B4" w:rsidR="00674D74" w:rsidRDefault="00000000" w:rsidP="00C16F7D">
            <w:pPr>
              <w:jc w:val="both"/>
            </w:pPr>
            <w:r>
              <w:t xml:space="preserve">Flow 1: </w:t>
            </w:r>
            <w:r w:rsidR="00BA4122">
              <w:t>FLUJO MEDIDO EN EL SPOT A</w:t>
            </w:r>
            <w:r>
              <w:t>. Unidad: ml/min (mililitros por minuto)</w:t>
            </w:r>
          </w:p>
          <w:p w14:paraId="1FD0A4FF" w14:textId="12580961" w:rsidR="00674D74" w:rsidRDefault="00000000" w:rsidP="00C16F7D">
            <w:pPr>
              <w:jc w:val="both"/>
            </w:pPr>
            <w:r>
              <w:t xml:space="preserve">Flow 2: </w:t>
            </w:r>
            <w:r w:rsidR="00BA4122">
              <w:t xml:space="preserve">FLUJO MEDIDO EN EL SPOT </w:t>
            </w:r>
            <w:r w:rsidR="00D34764">
              <w:t>B</w:t>
            </w:r>
            <w:r>
              <w:t>.  Unidad: ml/min (mililitros por minuto)</w:t>
            </w:r>
          </w:p>
          <w:p w14:paraId="22569199" w14:textId="77777777" w:rsidR="00674D74" w:rsidRDefault="00000000" w:rsidP="00C16F7D">
            <w:pPr>
              <w:jc w:val="both"/>
              <w:rPr>
                <w:rFonts w:ascii="Georgia" w:eastAsia="Georgia" w:hAnsi="Georgia" w:cs="Georgia"/>
                <w:color w:val="1F1F1F"/>
                <w:sz w:val="48"/>
                <w:szCs w:val="48"/>
              </w:rPr>
            </w:pPr>
            <w:r>
              <w:t xml:space="preserve">Los datos fueron utilizados en el artículo científico: </w:t>
            </w:r>
            <w:proofErr w:type="spellStart"/>
            <w:r>
              <w:t>Atmospheric</w:t>
            </w:r>
            <w:proofErr w:type="spellEnd"/>
            <w:r>
              <w:t xml:space="preserve"> </w:t>
            </w:r>
            <w:proofErr w:type="spellStart"/>
            <w:r>
              <w:t>black</w:t>
            </w:r>
            <w:proofErr w:type="spellEnd"/>
            <w:r>
              <w:t xml:space="preserve"> </w:t>
            </w:r>
            <w:proofErr w:type="spellStart"/>
            <w:r>
              <w:t>carbon</w:t>
            </w:r>
            <w:proofErr w:type="spellEnd"/>
            <w:r>
              <w:t xml:space="preserve"> </w:t>
            </w:r>
            <w:proofErr w:type="spellStart"/>
            <w:r>
              <w:t>observations</w:t>
            </w:r>
            <w:proofErr w:type="spellEnd"/>
            <w:r>
              <w:t xml:space="preserve"> and </w:t>
            </w:r>
            <w:proofErr w:type="spellStart"/>
            <w:r>
              <w:t>its</w:t>
            </w:r>
            <w:proofErr w:type="spellEnd"/>
            <w:r>
              <w:t xml:space="preserve"> </w:t>
            </w:r>
            <w:proofErr w:type="spellStart"/>
            <w:r>
              <w:t>valley-mountain</w:t>
            </w:r>
            <w:proofErr w:type="spellEnd"/>
            <w:r>
              <w:t xml:space="preserve"> </w:t>
            </w:r>
            <w:proofErr w:type="spellStart"/>
            <w:r>
              <w:t>dynamics</w:t>
            </w:r>
            <w:proofErr w:type="spellEnd"/>
            <w:r>
              <w:t xml:space="preserve">: Eastern cordillera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central Andes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Peru</w:t>
            </w:r>
            <w:proofErr w:type="spellEnd"/>
            <w:r>
              <w:t xml:space="preserve">. </w:t>
            </w:r>
            <w:proofErr w:type="spellStart"/>
            <w:r>
              <w:t>Doi</w:t>
            </w:r>
            <w:proofErr w:type="spellEnd"/>
            <w:r>
              <w:t xml:space="preserve">: </w:t>
            </w:r>
            <w:hyperlink r:id="rId5">
              <w:r w:rsidR="00674D74">
                <w:rPr>
                  <w:color w:val="0272B1"/>
                  <w:sz w:val="21"/>
                  <w:szCs w:val="21"/>
                </w:rPr>
                <w:t>https://doi.org/10.1016/j.envpol.2024.124089</w:t>
              </w:r>
            </w:hyperlink>
          </w:p>
          <w:p w14:paraId="6E1C4E94" w14:textId="77777777" w:rsidR="00674D74" w:rsidRDefault="00000000" w:rsidP="00C16F7D">
            <w:pPr>
              <w:jc w:val="both"/>
            </w:pPr>
            <w:r>
              <w:t xml:space="preserve">Este </w:t>
            </w:r>
            <w:proofErr w:type="spellStart"/>
            <w:r>
              <w:t>dataset</w:t>
            </w:r>
            <w:proofErr w:type="spellEnd"/>
            <w:r>
              <w:t xml:space="preserve"> está caracterizado por:</w:t>
            </w:r>
          </w:p>
          <w:p w14:paraId="4EFF8637" w14:textId="77777777" w:rsidR="00674D74" w:rsidRDefault="00000000" w:rsidP="00C16F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jc w:val="both"/>
            </w:pPr>
            <w:r>
              <w:t>Datos del CEMGEM: Departamento, Provincia, Distrito, Ubigeo</w:t>
            </w:r>
          </w:p>
          <w:p w14:paraId="3BCCCEF6" w14:textId="77777777" w:rsidR="00674D74" w:rsidRDefault="00000000" w:rsidP="00C16F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jc w:val="both"/>
            </w:pPr>
            <w:r>
              <w:t>Datos de la estación: Nombre, Marca y Modelo</w:t>
            </w:r>
          </w:p>
          <w:p w14:paraId="3B2C8B2F" w14:textId="77777777" w:rsidR="00674D74" w:rsidRDefault="00000000" w:rsidP="00C16F7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hanging="283"/>
              <w:jc w:val="both"/>
            </w:pPr>
            <w:r>
              <w:t>Datos meteorológicos: carbono negro y carbono marrón</w:t>
            </w:r>
          </w:p>
        </w:tc>
      </w:tr>
      <w:tr w:rsidR="00674D74" w14:paraId="62AD3314" w14:textId="77777777">
        <w:tc>
          <w:tcPr>
            <w:tcW w:w="3000" w:type="dxa"/>
            <w:vAlign w:val="center"/>
          </w:tcPr>
          <w:p w14:paraId="722D6170" w14:textId="77777777" w:rsidR="00674D74" w:rsidRDefault="00000000">
            <w:r>
              <w:rPr>
                <w:b/>
                <w:sz w:val="20"/>
                <w:szCs w:val="20"/>
              </w:rPr>
              <w:t>Entidad</w:t>
            </w:r>
          </w:p>
        </w:tc>
        <w:tc>
          <w:tcPr>
            <w:tcW w:w="7455" w:type="dxa"/>
          </w:tcPr>
          <w:p w14:paraId="51FFF029" w14:textId="77777777" w:rsidR="00674D74" w:rsidRDefault="00000000">
            <w:r>
              <w:t>Instituto Nacional de Investigación en Glaciares y Ecosistemas de Montaña - INAIGEM</w:t>
            </w:r>
          </w:p>
        </w:tc>
      </w:tr>
      <w:tr w:rsidR="00674D74" w14:paraId="24503109" w14:textId="77777777">
        <w:tc>
          <w:tcPr>
            <w:tcW w:w="3000" w:type="dxa"/>
            <w:vAlign w:val="center"/>
          </w:tcPr>
          <w:p w14:paraId="298D6C78" w14:textId="77777777" w:rsidR="00674D74" w:rsidRDefault="00000000">
            <w:r>
              <w:rPr>
                <w:b/>
                <w:sz w:val="20"/>
                <w:szCs w:val="20"/>
              </w:rPr>
              <w:t>Fuente</w:t>
            </w:r>
          </w:p>
        </w:tc>
        <w:tc>
          <w:tcPr>
            <w:tcW w:w="7455" w:type="dxa"/>
          </w:tcPr>
          <w:p w14:paraId="31870825" w14:textId="77777777" w:rsidR="00674D74" w:rsidRDefault="00000000">
            <w:r>
              <w:t>Oficina Desconcentrado Macro Región Centro</w:t>
            </w:r>
          </w:p>
        </w:tc>
      </w:tr>
      <w:tr w:rsidR="00674D74" w14:paraId="7F14E18F" w14:textId="77777777">
        <w:tc>
          <w:tcPr>
            <w:tcW w:w="3000" w:type="dxa"/>
            <w:vAlign w:val="center"/>
          </w:tcPr>
          <w:p w14:paraId="3375E596" w14:textId="77777777" w:rsidR="00674D74" w:rsidRDefault="00000000">
            <w:r>
              <w:rPr>
                <w:b/>
                <w:sz w:val="20"/>
                <w:szCs w:val="20"/>
              </w:rPr>
              <w:t>Etiquetas</w:t>
            </w:r>
          </w:p>
        </w:tc>
        <w:tc>
          <w:tcPr>
            <w:tcW w:w="7455" w:type="dxa"/>
          </w:tcPr>
          <w:p w14:paraId="4CF571A0" w14:textId="77777777" w:rsidR="00674D74" w:rsidRDefault="00000000">
            <w:r>
              <w:t>Carbono negro</w:t>
            </w:r>
          </w:p>
        </w:tc>
      </w:tr>
      <w:tr w:rsidR="00674D74" w14:paraId="3B53D9CA" w14:textId="77777777">
        <w:tc>
          <w:tcPr>
            <w:tcW w:w="3000" w:type="dxa"/>
            <w:vAlign w:val="center"/>
          </w:tcPr>
          <w:p w14:paraId="5F1E345E" w14:textId="77777777" w:rsidR="00674D74" w:rsidRDefault="00000000">
            <w:r>
              <w:rPr>
                <w:b/>
                <w:sz w:val="20"/>
                <w:szCs w:val="20"/>
              </w:rPr>
              <w:t>Fecha de creación</w:t>
            </w:r>
          </w:p>
        </w:tc>
        <w:tc>
          <w:tcPr>
            <w:tcW w:w="7455" w:type="dxa"/>
          </w:tcPr>
          <w:p w14:paraId="24CBD916" w14:textId="77777777" w:rsidR="00674D74" w:rsidRDefault="00000000">
            <w:r>
              <w:t>2024-04-30</w:t>
            </w:r>
          </w:p>
        </w:tc>
      </w:tr>
      <w:tr w:rsidR="00674D74" w14:paraId="25E06058" w14:textId="77777777">
        <w:tc>
          <w:tcPr>
            <w:tcW w:w="3000" w:type="dxa"/>
            <w:vAlign w:val="center"/>
          </w:tcPr>
          <w:p w14:paraId="1AD6E816" w14:textId="77777777" w:rsidR="00674D74" w:rsidRDefault="00000000">
            <w:r>
              <w:rPr>
                <w:b/>
                <w:sz w:val="20"/>
                <w:szCs w:val="20"/>
              </w:rPr>
              <w:t>Frecuencia de actualización</w:t>
            </w:r>
          </w:p>
        </w:tc>
        <w:tc>
          <w:tcPr>
            <w:tcW w:w="7455" w:type="dxa"/>
          </w:tcPr>
          <w:p w14:paraId="41925554" w14:textId="77777777" w:rsidR="00674D74" w:rsidRDefault="00000000">
            <w:r>
              <w:t>Semestral</w:t>
            </w:r>
          </w:p>
        </w:tc>
      </w:tr>
      <w:tr w:rsidR="00674D74" w14:paraId="38BD92EE" w14:textId="77777777">
        <w:tc>
          <w:tcPr>
            <w:tcW w:w="3000" w:type="dxa"/>
            <w:vAlign w:val="center"/>
          </w:tcPr>
          <w:p w14:paraId="2BDCC7DE" w14:textId="77777777" w:rsidR="00674D74" w:rsidRDefault="00000000">
            <w:r>
              <w:rPr>
                <w:b/>
                <w:sz w:val="20"/>
                <w:szCs w:val="20"/>
              </w:rPr>
              <w:t>Última actualización</w:t>
            </w:r>
          </w:p>
        </w:tc>
        <w:tc>
          <w:tcPr>
            <w:tcW w:w="7455" w:type="dxa"/>
            <w:vAlign w:val="center"/>
          </w:tcPr>
          <w:p w14:paraId="4FEC5674" w14:textId="77777777" w:rsidR="00674D74" w:rsidRDefault="00000000">
            <w:r>
              <w:t>2024-04-30</w:t>
            </w:r>
          </w:p>
        </w:tc>
      </w:tr>
      <w:tr w:rsidR="00674D74" w14:paraId="11520907" w14:textId="77777777">
        <w:tc>
          <w:tcPr>
            <w:tcW w:w="3000" w:type="dxa"/>
            <w:vAlign w:val="center"/>
          </w:tcPr>
          <w:p w14:paraId="5BBA98CA" w14:textId="77777777" w:rsidR="00674D74" w:rsidRDefault="00000000">
            <w:r>
              <w:rPr>
                <w:b/>
                <w:sz w:val="20"/>
                <w:szCs w:val="20"/>
              </w:rPr>
              <w:t>Versión</w:t>
            </w:r>
          </w:p>
        </w:tc>
        <w:tc>
          <w:tcPr>
            <w:tcW w:w="7455" w:type="dxa"/>
            <w:vAlign w:val="center"/>
          </w:tcPr>
          <w:p w14:paraId="20845F8B" w14:textId="77777777" w:rsidR="00674D74" w:rsidRDefault="00000000">
            <w:r>
              <w:t>1.0</w:t>
            </w:r>
          </w:p>
        </w:tc>
      </w:tr>
      <w:tr w:rsidR="00674D74" w:rsidRPr="00C16F7D" w14:paraId="26D4D531" w14:textId="77777777">
        <w:tc>
          <w:tcPr>
            <w:tcW w:w="3000" w:type="dxa"/>
            <w:vAlign w:val="center"/>
          </w:tcPr>
          <w:p w14:paraId="1331077F" w14:textId="77777777" w:rsidR="00674D74" w:rsidRDefault="00000000">
            <w:r>
              <w:rPr>
                <w:b/>
                <w:sz w:val="20"/>
                <w:szCs w:val="20"/>
              </w:rPr>
              <w:t>Licencia</w:t>
            </w:r>
          </w:p>
        </w:tc>
        <w:tc>
          <w:tcPr>
            <w:tcW w:w="7455" w:type="dxa"/>
            <w:vAlign w:val="center"/>
          </w:tcPr>
          <w:p w14:paraId="5AF93E38" w14:textId="77777777" w:rsidR="00674D74" w:rsidRPr="00BA4122" w:rsidRDefault="00674D74">
            <w:pPr>
              <w:rPr>
                <w:lang w:val="en-US"/>
              </w:rPr>
            </w:pPr>
            <w:hyperlink r:id="rId6">
              <w:r w:rsidRPr="00BA4122">
                <w:rPr>
                  <w:u w:val="single"/>
                  <w:lang w:val="en-US"/>
                </w:rPr>
                <w:t>Open Data Commons Attribution License</w:t>
              </w:r>
            </w:hyperlink>
          </w:p>
        </w:tc>
      </w:tr>
      <w:tr w:rsidR="00674D74" w14:paraId="2501E68C" w14:textId="77777777">
        <w:tc>
          <w:tcPr>
            <w:tcW w:w="3000" w:type="dxa"/>
            <w:vAlign w:val="center"/>
          </w:tcPr>
          <w:p w14:paraId="4E039363" w14:textId="77777777" w:rsidR="00674D74" w:rsidRDefault="00000000">
            <w:r>
              <w:rPr>
                <w:b/>
                <w:sz w:val="20"/>
                <w:szCs w:val="20"/>
              </w:rPr>
              <w:t>Idioma</w:t>
            </w:r>
          </w:p>
        </w:tc>
        <w:tc>
          <w:tcPr>
            <w:tcW w:w="7455" w:type="dxa"/>
            <w:vAlign w:val="center"/>
          </w:tcPr>
          <w:p w14:paraId="7A3A2DF4" w14:textId="77777777" w:rsidR="00674D74" w:rsidRDefault="00000000">
            <w:r>
              <w:t>Español</w:t>
            </w:r>
          </w:p>
        </w:tc>
      </w:tr>
      <w:tr w:rsidR="00674D74" w14:paraId="48182DCA" w14:textId="77777777">
        <w:tc>
          <w:tcPr>
            <w:tcW w:w="3000" w:type="dxa"/>
            <w:vAlign w:val="center"/>
          </w:tcPr>
          <w:p w14:paraId="54F65AE8" w14:textId="77777777" w:rsidR="00674D74" w:rsidRDefault="00000000">
            <w:r>
              <w:rPr>
                <w:b/>
                <w:sz w:val="20"/>
                <w:szCs w:val="20"/>
              </w:rPr>
              <w:t>Nivel de acceso público</w:t>
            </w:r>
          </w:p>
        </w:tc>
        <w:tc>
          <w:tcPr>
            <w:tcW w:w="7455" w:type="dxa"/>
            <w:vAlign w:val="center"/>
          </w:tcPr>
          <w:p w14:paraId="0A0A4C27" w14:textId="77777777" w:rsidR="00674D74" w:rsidRDefault="00000000">
            <w:r>
              <w:t>Público</w:t>
            </w:r>
          </w:p>
        </w:tc>
      </w:tr>
      <w:tr w:rsidR="00674D74" w14:paraId="150F9A74" w14:textId="77777777">
        <w:tc>
          <w:tcPr>
            <w:tcW w:w="3000" w:type="dxa"/>
          </w:tcPr>
          <w:p w14:paraId="62A16C02" w14:textId="77777777" w:rsidR="00674D74" w:rsidRDefault="00000000">
            <w:r>
              <w:rPr>
                <w:b/>
                <w:sz w:val="20"/>
                <w:szCs w:val="20"/>
              </w:rPr>
              <w:t>Tipo de recurso</w:t>
            </w:r>
          </w:p>
        </w:tc>
        <w:tc>
          <w:tcPr>
            <w:tcW w:w="7455" w:type="dxa"/>
          </w:tcPr>
          <w:p w14:paraId="65B96975" w14:textId="77777777" w:rsidR="00674D74" w:rsidRDefault="00000000">
            <w:proofErr w:type="spellStart"/>
            <w:r>
              <w:t>Dataset</w:t>
            </w:r>
            <w:proofErr w:type="spellEnd"/>
          </w:p>
        </w:tc>
      </w:tr>
      <w:tr w:rsidR="00674D74" w14:paraId="57C38406" w14:textId="77777777">
        <w:tc>
          <w:tcPr>
            <w:tcW w:w="3000" w:type="dxa"/>
          </w:tcPr>
          <w:p w14:paraId="12A50BAA" w14:textId="77777777" w:rsidR="00674D74" w:rsidRDefault="00000000">
            <w:pPr>
              <w:rPr>
                <w:b/>
              </w:rPr>
            </w:pPr>
            <w:r>
              <w:rPr>
                <w:b/>
              </w:rPr>
              <w:t>Formato</w:t>
            </w:r>
          </w:p>
        </w:tc>
        <w:tc>
          <w:tcPr>
            <w:tcW w:w="7455" w:type="dxa"/>
          </w:tcPr>
          <w:p w14:paraId="60BD4316" w14:textId="77777777" w:rsidR="00674D74" w:rsidRDefault="00000000">
            <w:r>
              <w:t>CSV</w:t>
            </w:r>
          </w:p>
        </w:tc>
      </w:tr>
      <w:tr w:rsidR="00674D74" w14:paraId="62B2273A" w14:textId="77777777">
        <w:tc>
          <w:tcPr>
            <w:tcW w:w="3000" w:type="dxa"/>
          </w:tcPr>
          <w:p w14:paraId="02ACBCA4" w14:textId="77777777" w:rsidR="00674D74" w:rsidRDefault="00000000">
            <w:r>
              <w:rPr>
                <w:b/>
                <w:sz w:val="20"/>
                <w:szCs w:val="20"/>
              </w:rPr>
              <w:t xml:space="preserve">Cobertura </w:t>
            </w:r>
          </w:p>
        </w:tc>
        <w:tc>
          <w:tcPr>
            <w:tcW w:w="7455" w:type="dxa"/>
          </w:tcPr>
          <w:p w14:paraId="37CD869E" w14:textId="7FE1D530" w:rsidR="00674D74" w:rsidRDefault="00000000">
            <w:r>
              <w:t>Perú,</w:t>
            </w:r>
            <w:r w:rsidR="00ED3DD3">
              <w:t xml:space="preserve"> </w:t>
            </w:r>
            <w:r>
              <w:t>Junín, Huancayo,</w:t>
            </w:r>
            <w:r w:rsidR="00ED3DD3">
              <w:t xml:space="preserve"> </w:t>
            </w:r>
            <w:r>
              <w:t>Huancayo, 2022-2024</w:t>
            </w:r>
          </w:p>
        </w:tc>
      </w:tr>
      <w:tr w:rsidR="00674D74" w14:paraId="10395450" w14:textId="77777777">
        <w:tc>
          <w:tcPr>
            <w:tcW w:w="3000" w:type="dxa"/>
          </w:tcPr>
          <w:p w14:paraId="6797C604" w14:textId="77777777" w:rsidR="00674D74" w:rsidRDefault="00000000">
            <w:pPr>
              <w:rPr>
                <w:b/>
              </w:rPr>
            </w:pPr>
            <w:r>
              <w:rPr>
                <w:b/>
              </w:rPr>
              <w:t>Correo de contacto</w:t>
            </w:r>
          </w:p>
        </w:tc>
        <w:tc>
          <w:tcPr>
            <w:tcW w:w="7455" w:type="dxa"/>
          </w:tcPr>
          <w:p w14:paraId="44948183" w14:textId="77777777" w:rsidR="00674D74" w:rsidRDefault="00000000" w:rsidP="00A362F5">
            <w:r>
              <w:rPr>
                <w:sz w:val="21"/>
                <w:szCs w:val="21"/>
              </w:rPr>
              <w:t>evillalobos@inaigem.gob.pe</w:t>
            </w:r>
          </w:p>
        </w:tc>
      </w:tr>
    </w:tbl>
    <w:p w14:paraId="02642CC0" w14:textId="77777777" w:rsidR="00674D74" w:rsidRDefault="00674D74"/>
    <w:sectPr w:rsidR="00674D74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BC37759-8B95-435F-88DA-D765216C54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17B0F7FE-4445-42BD-B2F5-32E9D8D49D0E}"/>
    <w:embedItalic r:id="rId3" w:fontKey="{5B2F4012-6C32-4D63-91F2-42ADEE05879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3ED4E5B-9015-45FA-AD47-EE6EC9F3F6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D850B63-B61E-4E96-859D-FA36DEB6AE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B55F4F"/>
    <w:multiLevelType w:val="multilevel"/>
    <w:tmpl w:val="5970A6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8662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D74"/>
    <w:rsid w:val="00006C33"/>
    <w:rsid w:val="003605E6"/>
    <w:rsid w:val="00524D65"/>
    <w:rsid w:val="005A684F"/>
    <w:rsid w:val="005B4D2E"/>
    <w:rsid w:val="00674D74"/>
    <w:rsid w:val="00875F17"/>
    <w:rsid w:val="0088311A"/>
    <w:rsid w:val="00A362F5"/>
    <w:rsid w:val="00BA4122"/>
    <w:rsid w:val="00C16F7D"/>
    <w:rsid w:val="00D34764"/>
    <w:rsid w:val="00ED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A1B348"/>
  <w15:docId w15:val="{EBD40F5C-C84A-493D-9944-ABE27A450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opendefinition.org/licenses/odc-by/" TargetMode="External"/><Relationship Id="rId5" Type="http://schemas.openxmlformats.org/officeDocument/2006/relationships/hyperlink" Target="https://doi.org/10.1016/j.envpol.2024.124089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414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Dean Padilla Herrera</cp:lastModifiedBy>
  <cp:revision>9</cp:revision>
  <dcterms:created xsi:type="dcterms:W3CDTF">2025-05-06T15:44:00Z</dcterms:created>
  <dcterms:modified xsi:type="dcterms:W3CDTF">2025-05-06T17:36:00Z</dcterms:modified>
</cp:coreProperties>
</file>