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>
        <w:t xml:space="preserve">:  </w:t>
      </w:r>
      <w:r w:rsidR="00357370" w:rsidRPr="00357370">
        <w:rPr>
          <w:rFonts w:ascii="Roboto" w:eastAsia="Roboto" w:hAnsi="Roboto" w:cs="Roboto"/>
          <w:sz w:val="20"/>
          <w:szCs w:val="20"/>
        </w:rPr>
        <w:t>Sanciones emitidas por OSINFOR a Títulos Habilitantes [Organismo de Supervisión de los Recursos Forestales y de Fauna Silvestre - OSINFOR]</w:t>
      </w:r>
    </w:p>
    <w:p w:rsidR="00913FBC" w:rsidRDefault="00373BD8"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Default="00357370">
            <w:r w:rsidRPr="00357370">
              <w:t>Sanciones emitidas por OSINFOR a Títulos Habilitantes [Organismo de Supervisión de los Recursos Forestales y de Fauna Silvestre - 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</w:tcPr>
          <w:p w:rsidR="00913FBC" w:rsidRDefault="00AB2AAB" w:rsidP="00995AE9">
            <w:r w:rsidRPr="00AB2AAB">
              <w:t>https://www.datosabiertos.gob.pe/dataset/sanciones-emitidas-por-osinfor-t%C3%ADtulos-habilitantes-organismo-de-supervisi%C3%B3n-de-los-recursos</w:t>
            </w:r>
            <w:bookmarkStart w:id="0" w:name="_GoBack"/>
            <w:bookmarkEnd w:id="0"/>
          </w:p>
        </w:tc>
      </w:tr>
      <w:tr w:rsidR="00913FBC">
        <w:trPr>
          <w:trHeight w:val="147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605" w:type="dxa"/>
          </w:tcPr>
          <w:p w:rsidR="00995AE9" w:rsidRDefault="00995AE9" w:rsidP="00995AE9">
            <w:pPr>
              <w:jc w:val="both"/>
            </w:pPr>
            <w:r>
              <w:t xml:space="preserve">Este registro presenta </w:t>
            </w:r>
            <w:r w:rsidRPr="001843BD">
              <w:rPr>
                <w:b/>
              </w:rPr>
              <w:t>información de los titulares de títulos habilitantes sancionados</w:t>
            </w:r>
            <w:r>
              <w:t xml:space="preserve">, mediante un llamado de atención (amonestación) o una multa; </w:t>
            </w:r>
            <w:r w:rsidRPr="001843BD">
              <w:rPr>
                <w:b/>
              </w:rPr>
              <w:t>o caducos</w:t>
            </w:r>
            <w:r>
              <w:t>, por medio de la extinción de la titularidad</w:t>
            </w:r>
            <w:r w:rsidRPr="001843BD">
              <w:rPr>
                <w:b/>
              </w:rPr>
              <w:t>, por el Organismo de Supervisión Forestal y de Fauna Silvestre (OSINFOR)</w:t>
            </w:r>
            <w:r>
              <w:t>, entidad encargada a nivel nacional de la supervisión y fiscalización del aprovechamiento forestal y de fauna silvestre.</w:t>
            </w:r>
          </w:p>
          <w:p w:rsidR="00995AE9" w:rsidRDefault="00995AE9" w:rsidP="00995AE9">
            <w:pPr>
              <w:jc w:val="both"/>
            </w:pPr>
            <w:r>
              <w:t xml:space="preserve">Un </w:t>
            </w:r>
            <w:r w:rsidRPr="00654FEA">
              <w:rPr>
                <w:b/>
              </w:rPr>
              <w:t>título habilitante es un</w:t>
            </w:r>
            <w:r>
              <w:rPr>
                <w:b/>
              </w:rPr>
              <w:t xml:space="preserve">a autorización </w:t>
            </w:r>
            <w:r>
              <w:t xml:space="preserve">otorgado por las Autoridades Regionales Forestales y de Fauna Silvestre (ARFFS) a personas naturales o jurídicas que </w:t>
            </w:r>
            <w:r w:rsidRPr="00654FEA">
              <w:rPr>
                <w:b/>
              </w:rPr>
              <w:t>permite el aprovechamiento sostenible de los recursos forestales y de fauna silvestre.</w:t>
            </w:r>
            <w:r>
              <w:t xml:space="preserve"> Este permiso </w:t>
            </w:r>
            <w:r w:rsidRPr="00654FEA">
              <w:rPr>
                <w:b/>
              </w:rPr>
              <w:t>está sujeto a la aprobación de un “Plan de manejo”</w:t>
            </w:r>
            <w:r>
              <w:t xml:space="preserve">, que consiste en un programa de acciones para el aprovechamiento razonable de los recursos del bosque.  </w:t>
            </w:r>
          </w:p>
          <w:p w:rsidR="00995AE9" w:rsidRDefault="00995AE9" w:rsidP="00995AE9">
            <w:pPr>
              <w:jc w:val="both"/>
            </w:pPr>
            <w:r>
              <w:t xml:space="preserve">Durante la etapa de supervisión, el OSINFOR verifica la implementación del “Plan de manejo” y el cumplimiento de las obligaciones del titular del título habilitante. En el caso de detectar algún incumplimiento a </w:t>
            </w:r>
            <w:r w:rsidRPr="0006098A">
              <w:t>la legislación forestal y de fauna silvestre,</w:t>
            </w:r>
            <w:r>
              <w:t xml:space="preserve"> la entidad iniciará un procedimiento sancionador, denominado “</w:t>
            </w:r>
            <w:r w:rsidRPr="00DE3026">
              <w:t>Procedimiento Administrativo Único</w:t>
            </w:r>
            <w:r>
              <w:t>” (PAU). Dado el caso, los titulares de los títulos habilitantes pueden presentar sus descargos para la evaluación correspondiente. Tras la verificación, se resolverá si son, o no, sujetos de sanción o caducidad.</w:t>
            </w:r>
          </w:p>
          <w:p w:rsidR="00995AE9" w:rsidRDefault="00995AE9" w:rsidP="00995AE9">
            <w:pPr>
              <w:jc w:val="both"/>
            </w:pPr>
            <w:r w:rsidRPr="00654FEA">
              <w:t xml:space="preserve">El </w:t>
            </w:r>
            <w:proofErr w:type="spellStart"/>
            <w:r w:rsidRPr="00654FEA">
              <w:rPr>
                <w:i/>
              </w:rPr>
              <w:t>dataset</w:t>
            </w:r>
            <w:proofErr w:type="spellEnd"/>
            <w:r w:rsidRPr="00654FEA">
              <w:t xml:space="preserve"> </w:t>
            </w:r>
            <w:r>
              <w:t xml:space="preserve">(conjunto de datos) contiene </w:t>
            </w:r>
            <w:r w:rsidRPr="00654FEA">
              <w:t>las siguientes variables: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654FEA">
              <w:t>Año de la supervisión.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70790F">
              <w:t xml:space="preserve">Nombre del titular del </w:t>
            </w:r>
            <w:r>
              <w:t>t</w:t>
            </w:r>
            <w:r w:rsidRPr="0070790F">
              <w:t xml:space="preserve">ítulo </w:t>
            </w:r>
            <w:r>
              <w:t>h</w:t>
            </w:r>
            <w:r w:rsidRPr="0070790F">
              <w:t>abilitante infractor.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70790F">
              <w:t>Tipo de documento</w:t>
            </w:r>
            <w:r>
              <w:t xml:space="preserve"> de identidad</w:t>
            </w:r>
            <w:r w:rsidRPr="0070790F">
              <w:t xml:space="preserve"> del titular del </w:t>
            </w:r>
            <w:r>
              <w:t>t</w:t>
            </w:r>
            <w:r w:rsidRPr="0070790F">
              <w:t xml:space="preserve">ítulo </w:t>
            </w:r>
            <w:r>
              <w:t>h</w:t>
            </w:r>
            <w:r w:rsidRPr="0070790F">
              <w:t>abilitante: DNI, RUC, Carne</w:t>
            </w:r>
            <w:r>
              <w:t>t</w:t>
            </w:r>
            <w:r w:rsidRPr="0070790F">
              <w:t xml:space="preserve"> de Extranjería (CE).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70790F">
              <w:t xml:space="preserve">Número de documento </w:t>
            </w:r>
            <w:r>
              <w:t xml:space="preserve">de identidad </w:t>
            </w:r>
            <w:r w:rsidRPr="0070790F">
              <w:t xml:space="preserve">del titular del </w:t>
            </w:r>
            <w:r>
              <w:t>t</w:t>
            </w:r>
            <w:r w:rsidRPr="0070790F">
              <w:t xml:space="preserve">ítulo </w:t>
            </w:r>
            <w:r>
              <w:t>h</w:t>
            </w:r>
            <w:r w:rsidRPr="0070790F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Modalidad de aprovechamiento.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Código de ubicación geográfica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Departamento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Provincia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Distrito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directoral de término que determina la sanción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Tipo de infracciones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directoral de respuesta al recurso de reconsideración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del Tribunal Forestal y de Fauna Silvestre (TFFS) de respuesta al recurso de apelación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Indicador de caducidad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abilitante: S</w:t>
            </w:r>
            <w:r>
              <w:t>í/</w:t>
            </w:r>
            <w:r w:rsidRPr="00A72528">
              <w:t>No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Tipo de sanción </w:t>
            </w:r>
            <w:r>
              <w:t>al titular del t</w:t>
            </w:r>
            <w:r w:rsidRPr="00A72528">
              <w:t xml:space="preserve">ítulo </w:t>
            </w:r>
            <w:r>
              <w:t>h</w:t>
            </w:r>
            <w:r w:rsidRPr="00A72528">
              <w:t>abilitante: Multa</w:t>
            </w:r>
            <w:r>
              <w:t>/A</w:t>
            </w:r>
            <w:r w:rsidRPr="00A72528">
              <w:t>monestación.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Monto de la multa final</w:t>
            </w:r>
            <w:r>
              <w:t>, en</w:t>
            </w:r>
            <w:r w:rsidRPr="00A72528">
              <w:t xml:space="preserve"> números de UIT (Unidad Impositiva Tributaria).</w:t>
            </w:r>
          </w:p>
          <w:p w:rsidR="00995AE9" w:rsidRPr="00A72528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Área otorgada en hectáreas.</w:t>
            </w:r>
          </w:p>
          <w:p w:rsidR="00995AE9" w:rsidRDefault="00995AE9" w:rsidP="00995AE9">
            <w:pPr>
              <w:jc w:val="both"/>
            </w:pPr>
            <w:r>
              <w:br/>
            </w:r>
            <w:r w:rsidRPr="00654FEA">
              <w:t xml:space="preserve">Este </w:t>
            </w:r>
            <w:proofErr w:type="spellStart"/>
            <w:r w:rsidRPr="00A72528">
              <w:rPr>
                <w:i/>
              </w:rPr>
              <w:t>dataset</w:t>
            </w:r>
            <w:proofErr w:type="spellEnd"/>
            <w:r w:rsidRPr="00654FEA">
              <w:t xml:space="preserve"> está caracterizado por:</w:t>
            </w:r>
          </w:p>
          <w:p w:rsidR="00995AE9" w:rsidRDefault="00995AE9" w:rsidP="00995AE9">
            <w:pPr>
              <w:numPr>
                <w:ilvl w:val="0"/>
                <w:numId w:val="5"/>
              </w:numPr>
              <w:jc w:val="both"/>
            </w:pPr>
            <w:r w:rsidRPr="00654FEA">
              <w:t xml:space="preserve">Departamento, provincia y distrito del titular del </w:t>
            </w:r>
            <w:r>
              <w:t>t</w:t>
            </w:r>
            <w:r w:rsidRPr="00654FEA">
              <w:t xml:space="preserve">ítulo </w:t>
            </w:r>
            <w:r>
              <w:t>h</w:t>
            </w:r>
            <w:r w:rsidRPr="00654FEA">
              <w:t>abilitante</w:t>
            </w:r>
            <w:r>
              <w:t>.</w:t>
            </w:r>
          </w:p>
          <w:p w:rsidR="00874A98" w:rsidRPr="00995AE9" w:rsidRDefault="00995AE9" w:rsidP="00995AE9">
            <w:pPr>
              <w:numPr>
                <w:ilvl w:val="0"/>
                <w:numId w:val="5"/>
              </w:numPr>
              <w:jc w:val="both"/>
            </w:pPr>
            <w:r w:rsidRPr="00A72528">
              <w:lastRenderedPageBreak/>
              <w:t>Los valores de la multa están en Unidades Impositivas Tributarias (UIT).</w:t>
            </w:r>
          </w:p>
          <w:p w:rsidR="00874A98" w:rsidRDefault="00874A98" w:rsidP="00995AE9">
            <w:pPr>
              <w:pStyle w:val="Prrafodelista"/>
              <w:contextualSpacing w:val="0"/>
            </w:pP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605" w:type="dxa"/>
          </w:tcPr>
          <w:p w:rsidR="00913FBC" w:rsidRPr="00AB2AAB" w:rsidRDefault="00373BD8">
            <w:pPr>
              <w:spacing w:after="160" w:line="259" w:lineRule="auto"/>
            </w:pPr>
            <w:r w:rsidRPr="00AB2AAB">
              <w:t>Organismo de Supervisión de los Recursos Forestales y de Fauna Silvestre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AB2AAB" w:rsidRDefault="00357370" w:rsidP="00357370">
            <w:pPr>
              <w:spacing w:after="160" w:line="259" w:lineRule="auto"/>
            </w:pPr>
            <w:r w:rsidRPr="00AB2AAB">
              <w:t>Sanción, OSINFOR, Forestales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>2023-01-12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AB2AAB" w:rsidRDefault="002914B9">
            <w:r w:rsidRPr="00AB2AAB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AB2AAB" w:rsidRDefault="00357370">
            <w:r w:rsidRPr="00AB2AAB">
              <w:t>2023-01-12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1</w:t>
            </w:r>
            <w:r w:rsidR="00357370" w:rsidRPr="00AB2AAB">
              <w:t>.0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AB2AAB" w:rsidRDefault="00AB2AAB">
            <w:hyperlink r:id="rId6">
              <w:r w:rsidR="00373BD8" w:rsidRPr="00AB2AAB">
                <w:rPr>
                  <w:u w:val="single"/>
                </w:rPr>
                <w:t xml:space="preserve">Open Data </w:t>
              </w:r>
              <w:proofErr w:type="spellStart"/>
              <w:r w:rsidR="00373BD8" w:rsidRPr="00AB2AAB">
                <w:rPr>
                  <w:u w:val="single"/>
                </w:rPr>
                <w:t>Commons</w:t>
              </w:r>
              <w:proofErr w:type="spellEnd"/>
              <w:r w:rsidR="00373BD8" w:rsidRPr="00AB2AAB">
                <w:rPr>
                  <w:u w:val="single"/>
                </w:rPr>
                <w:t xml:space="preserve"> </w:t>
              </w:r>
              <w:proofErr w:type="spellStart"/>
              <w:r w:rsidR="00373BD8" w:rsidRPr="00AB2AAB">
                <w:rPr>
                  <w:u w:val="single"/>
                </w:rPr>
                <w:t>Attribution</w:t>
              </w:r>
              <w:proofErr w:type="spellEnd"/>
              <w:r w:rsidR="00373BD8" w:rsidRPr="00AB2AAB">
                <w:rPr>
                  <w:u w:val="single"/>
                </w:rPr>
                <w:t xml:space="preserve"> </w:t>
              </w:r>
              <w:proofErr w:type="spellStart"/>
              <w:r w:rsidR="00373BD8" w:rsidRPr="00AB2AAB">
                <w:rPr>
                  <w:u w:val="single"/>
                </w:rPr>
                <w:t>License</w:t>
              </w:r>
              <w:proofErr w:type="spellEnd"/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AB2AAB" w:rsidRDefault="00373BD8">
            <w:proofErr w:type="spellStart"/>
            <w:r w:rsidRPr="00AB2AAB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CSV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>Perú, 2004-2023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AB2AAB" w:rsidRDefault="00AB2AAB">
            <w:hyperlink r:id="rId7" w:history="1">
              <w:r w:rsidR="002914B9" w:rsidRPr="00AB2AAB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AB2AAB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2914B9"/>
    <w:rsid w:val="00357370"/>
    <w:rsid w:val="00373BD8"/>
    <w:rsid w:val="004F6EF5"/>
    <w:rsid w:val="005D0BE0"/>
    <w:rsid w:val="00727305"/>
    <w:rsid w:val="00874A98"/>
    <w:rsid w:val="00913FBC"/>
    <w:rsid w:val="00995AE9"/>
    <w:rsid w:val="00AB2AAB"/>
    <w:rsid w:val="00B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Raul Marca Quispe</cp:lastModifiedBy>
  <cp:revision>3</cp:revision>
  <dcterms:created xsi:type="dcterms:W3CDTF">2023-03-14T20:57:00Z</dcterms:created>
  <dcterms:modified xsi:type="dcterms:W3CDTF">2023-03-23T15:14:00Z</dcterms:modified>
</cp:coreProperties>
</file>