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7592" w14:textId="77777777" w:rsidR="00CB6B3E" w:rsidRDefault="00000000">
      <w:pPr>
        <w:jc w:val="center"/>
        <w:rPr>
          <w:b/>
          <w:sz w:val="24"/>
          <w:szCs w:val="24"/>
          <w:u w:val="single"/>
        </w:rPr>
      </w:pPr>
      <w:r>
        <w:rPr>
          <w:b/>
          <w:sz w:val="24"/>
          <w:szCs w:val="24"/>
          <w:u w:val="single"/>
        </w:rPr>
        <w:t>METADATOS</w:t>
      </w:r>
    </w:p>
    <w:p w14:paraId="4B2959C6" w14:textId="77777777" w:rsidR="00CB6B3E" w:rsidRDefault="00CB6B3E"/>
    <w:p w14:paraId="0C65E4F6" w14:textId="40E5E978" w:rsidR="00CB6B3E" w:rsidRDefault="00000000">
      <w:r>
        <w:t xml:space="preserve">Metadatos del </w:t>
      </w:r>
      <w:proofErr w:type="spellStart"/>
      <w:r>
        <w:t>dataset</w:t>
      </w:r>
      <w:proofErr w:type="spellEnd"/>
      <w:r>
        <w:t xml:space="preserve">: </w:t>
      </w:r>
      <w:r w:rsidRPr="002257B4">
        <w:rPr>
          <w:bCs/>
        </w:rPr>
        <w:t xml:space="preserve">Catálogo de deformación GNSS de los volcanes más activos del Perú (Ubinas y </w:t>
      </w:r>
      <w:proofErr w:type="spellStart"/>
      <w:r w:rsidRPr="002257B4">
        <w:rPr>
          <w:bCs/>
        </w:rPr>
        <w:t>Sabancaya</w:t>
      </w:r>
      <w:proofErr w:type="spellEnd"/>
      <w:r w:rsidRPr="002257B4">
        <w:rPr>
          <w:bCs/>
        </w:rPr>
        <w:t>) - [Instituto Geofísico del Perú - IGP]</w:t>
      </w:r>
    </w:p>
    <w:p w14:paraId="3C0D77A7" w14:textId="77777777" w:rsidR="00CB6B3E" w:rsidRDefault="00000000">
      <w:r>
        <w:t xml:space="preserve">  </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7484"/>
      </w:tblGrid>
      <w:tr w:rsidR="00CB6B3E" w14:paraId="731396B6" w14:textId="77777777">
        <w:tc>
          <w:tcPr>
            <w:tcW w:w="2972" w:type="dxa"/>
            <w:vAlign w:val="center"/>
          </w:tcPr>
          <w:p w14:paraId="6BB403AD" w14:textId="77777777" w:rsidR="00CB6B3E" w:rsidRDefault="00000000">
            <w:r>
              <w:rPr>
                <w:b/>
                <w:color w:val="000000"/>
                <w:sz w:val="20"/>
                <w:szCs w:val="20"/>
              </w:rPr>
              <w:t>Título</w:t>
            </w:r>
          </w:p>
        </w:tc>
        <w:tc>
          <w:tcPr>
            <w:tcW w:w="7484" w:type="dxa"/>
          </w:tcPr>
          <w:p w14:paraId="73FE0505" w14:textId="77777777" w:rsidR="00CB6B3E" w:rsidRDefault="00000000">
            <w:r>
              <w:t xml:space="preserve">Catálogo de deformación GNSS de los volcanes más activos del Perú (Ubinas y </w:t>
            </w:r>
            <w:proofErr w:type="spellStart"/>
            <w:r>
              <w:t>Sabancaya</w:t>
            </w:r>
            <w:proofErr w:type="spellEnd"/>
            <w:r>
              <w:t>)</w:t>
            </w:r>
          </w:p>
        </w:tc>
      </w:tr>
      <w:tr w:rsidR="00CB6B3E" w14:paraId="0AEB11DF" w14:textId="77777777">
        <w:tc>
          <w:tcPr>
            <w:tcW w:w="2972" w:type="dxa"/>
            <w:vAlign w:val="center"/>
          </w:tcPr>
          <w:p w14:paraId="5189B4BC" w14:textId="77777777" w:rsidR="00CB6B3E" w:rsidRDefault="00000000">
            <w:r>
              <w:rPr>
                <w:b/>
                <w:color w:val="000000"/>
                <w:sz w:val="20"/>
                <w:szCs w:val="20"/>
              </w:rPr>
              <w:t>Título URL Descripción</w:t>
            </w:r>
          </w:p>
        </w:tc>
        <w:tc>
          <w:tcPr>
            <w:tcW w:w="7484" w:type="dxa"/>
          </w:tcPr>
          <w:p w14:paraId="2AE76A70" w14:textId="38F97AF2" w:rsidR="00CB6B3E" w:rsidRDefault="002257B4">
            <w:r w:rsidRPr="002257B4">
              <w:t>https://www.datosabiertos.gob.pe/dataset/cat%C3%A1logo-de-deformaci%C3%B3n-gnss-de-los-volcanes-m%C3%A1s-activos-del-per%C3%BA-ubinas-y-sabancaya-0</w:t>
            </w:r>
          </w:p>
        </w:tc>
      </w:tr>
      <w:tr w:rsidR="00CB6B3E" w14:paraId="2F723124" w14:textId="77777777">
        <w:tc>
          <w:tcPr>
            <w:tcW w:w="2972" w:type="dxa"/>
            <w:vAlign w:val="center"/>
          </w:tcPr>
          <w:p w14:paraId="771960EA" w14:textId="77777777" w:rsidR="00CB6B3E" w:rsidRDefault="00000000">
            <w:pPr>
              <w:rPr>
                <w:b/>
                <w:sz w:val="20"/>
                <w:szCs w:val="20"/>
              </w:rPr>
            </w:pPr>
            <w:r>
              <w:rPr>
                <w:b/>
                <w:sz w:val="20"/>
                <w:szCs w:val="20"/>
              </w:rPr>
              <w:t>Descripción</w:t>
            </w:r>
          </w:p>
        </w:tc>
        <w:tc>
          <w:tcPr>
            <w:tcW w:w="7484" w:type="dxa"/>
          </w:tcPr>
          <w:p w14:paraId="23A7E719" w14:textId="77777777" w:rsidR="00CB6B3E" w:rsidRDefault="00000000">
            <w:r>
              <w:t xml:space="preserve">El Catálogo GNSS de los volcanes más activos del Perú (Ubinas y </w:t>
            </w:r>
            <w:proofErr w:type="spellStart"/>
            <w:r>
              <w:t>Sabancaya</w:t>
            </w:r>
            <w:proofErr w:type="spellEnd"/>
            <w:r>
              <w:t xml:space="preserve">) es un </w:t>
            </w:r>
            <w:proofErr w:type="spellStart"/>
            <w:r>
              <w:t>dataset</w:t>
            </w:r>
            <w:proofErr w:type="spellEnd"/>
            <w:r>
              <w:t xml:space="preserve"> fundamental para el monitoreo y análisis de la deformación superficial en estos importantes sistemas volcánicos.</w:t>
            </w:r>
          </w:p>
          <w:p w14:paraId="7B5967BF" w14:textId="77777777" w:rsidR="00CB6B3E" w:rsidRDefault="00CB6B3E"/>
          <w:p w14:paraId="2FEDF709" w14:textId="77777777" w:rsidR="00CB6B3E" w:rsidRDefault="00000000">
            <w:r>
              <w:t xml:space="preserve">El catálogo consta de seis campos esenciales que proporcionan información detallada sobre el desplazamiento en cada componente del GNSS. </w:t>
            </w:r>
          </w:p>
          <w:p w14:paraId="572AD66E" w14:textId="77777777" w:rsidR="00CB6B3E" w:rsidRDefault="00CB6B3E"/>
          <w:p w14:paraId="217122B6" w14:textId="77777777" w:rsidR="00CB6B3E" w:rsidRDefault="00000000">
            <w:r>
              <w:t>En primer lugar, se indica la fecha en la que se registró la deformación GNSS de los volcanes, expresada en formato UTC (Tiempo Universal Coordinado), lo que permite una referencia temporal estandarizada y facilita la comparación y análisis de los datos.</w:t>
            </w:r>
          </w:p>
          <w:p w14:paraId="0C4D776A" w14:textId="77777777" w:rsidR="00CB6B3E" w:rsidRDefault="00CB6B3E"/>
          <w:p w14:paraId="12EAC213" w14:textId="77777777" w:rsidR="00CB6B3E" w:rsidRDefault="00000000">
            <w:r>
              <w:t>A continuación, en los tres campos siguientes, se especifica el desplazamiento registrado en Este y Norte (componentes horizontales) y en la componente Vertical del GNSS, expresado en centímetros, con los valores ajustados a cero el 01/01/2024 como punto de referencia. Los registros positivos se muestran con (+) y los negativos con (-).</w:t>
            </w:r>
          </w:p>
          <w:p w14:paraId="53241EF4" w14:textId="77777777" w:rsidR="00CB6B3E" w:rsidRDefault="00CB6B3E"/>
          <w:p w14:paraId="2BC45E7E" w14:textId="77777777" w:rsidR="00CB6B3E" w:rsidRDefault="00000000">
            <w:r>
              <w:t xml:space="preserve">La ubicación de los equipos GNSS para el monitoreo de la deformación de los volcanes Ubinas y </w:t>
            </w:r>
            <w:proofErr w:type="spellStart"/>
            <w:r>
              <w:t>Sabancaya</w:t>
            </w:r>
            <w:proofErr w:type="spellEnd"/>
            <w:r>
              <w:t xml:space="preserve"> son: (1) Ubinas, coordenadas geográficas longitud -70.92° y latitud -16.36°, (2) </w:t>
            </w:r>
            <w:proofErr w:type="spellStart"/>
            <w:r>
              <w:t>Sabancaya</w:t>
            </w:r>
            <w:proofErr w:type="spellEnd"/>
            <w:r>
              <w:t>, coordenadas geográficas longitud -71.85° y latitud -15.73°. No se puede dar mayor precisión por seguridad de los equipos.</w:t>
            </w:r>
          </w:p>
          <w:p w14:paraId="2769D82C" w14:textId="77777777" w:rsidR="00CB6B3E" w:rsidRDefault="00CB6B3E"/>
          <w:p w14:paraId="2296E601" w14:textId="77777777" w:rsidR="00CB6B3E" w:rsidRDefault="00000000">
            <w:r>
              <w:t xml:space="preserve">Este catálogo es una herramienta valiosa para la comunidad científica y las autoridades encargadas de la gestión de riesgos volcánicos, ya que permite un análisis detallado y una mejor comprensión de la evolución de la deformación de los volcanes Ubinas y </w:t>
            </w:r>
            <w:proofErr w:type="spellStart"/>
            <w:r>
              <w:t>Sabancaya</w:t>
            </w:r>
            <w:proofErr w:type="spellEnd"/>
            <w:r>
              <w:t>.</w:t>
            </w:r>
          </w:p>
          <w:p w14:paraId="12027BEC" w14:textId="77777777" w:rsidR="00CB6B3E" w:rsidRDefault="00CB6B3E"/>
          <w:p w14:paraId="0458D21F" w14:textId="77777777" w:rsidR="00CB6B3E" w:rsidRDefault="00000000">
            <w:r>
              <w:t xml:space="preserve">Este </w:t>
            </w:r>
            <w:proofErr w:type="spellStart"/>
            <w:r>
              <w:t>dataset</w:t>
            </w:r>
            <w:proofErr w:type="spellEnd"/>
            <w:r>
              <w:t xml:space="preserve"> está caracterizado por: Ubigeo, año del registro de la deformación, departamento, provincia, fecha de registro GNSS, este, norte, vertical y nombre del volcán.</w:t>
            </w:r>
          </w:p>
          <w:p w14:paraId="5E81AA61" w14:textId="77777777" w:rsidR="00CB6B3E" w:rsidRDefault="00CB6B3E"/>
        </w:tc>
      </w:tr>
      <w:tr w:rsidR="00CB6B3E" w14:paraId="02DA05A4" w14:textId="77777777">
        <w:tc>
          <w:tcPr>
            <w:tcW w:w="2972" w:type="dxa"/>
            <w:vAlign w:val="center"/>
          </w:tcPr>
          <w:p w14:paraId="4AD40D1E" w14:textId="77777777" w:rsidR="00CB6B3E" w:rsidRDefault="00000000">
            <w:r>
              <w:rPr>
                <w:b/>
                <w:color w:val="000000"/>
                <w:sz w:val="20"/>
                <w:szCs w:val="20"/>
              </w:rPr>
              <w:t>Entidad</w:t>
            </w:r>
          </w:p>
        </w:tc>
        <w:tc>
          <w:tcPr>
            <w:tcW w:w="7484" w:type="dxa"/>
          </w:tcPr>
          <w:p w14:paraId="440805F9" w14:textId="77777777" w:rsidR="00CB6B3E" w:rsidRDefault="00000000">
            <w:r>
              <w:t>Instituto Geofísico del Perú - IGP</w:t>
            </w:r>
          </w:p>
        </w:tc>
      </w:tr>
      <w:tr w:rsidR="00CB6B3E" w14:paraId="2789D711" w14:textId="77777777">
        <w:tc>
          <w:tcPr>
            <w:tcW w:w="2972" w:type="dxa"/>
            <w:vAlign w:val="center"/>
          </w:tcPr>
          <w:p w14:paraId="01171270" w14:textId="77777777" w:rsidR="00CB6B3E" w:rsidRDefault="00000000">
            <w:r>
              <w:rPr>
                <w:b/>
                <w:color w:val="000000"/>
                <w:sz w:val="20"/>
                <w:szCs w:val="20"/>
              </w:rPr>
              <w:t>Fuente</w:t>
            </w:r>
          </w:p>
        </w:tc>
        <w:tc>
          <w:tcPr>
            <w:tcW w:w="7484" w:type="dxa"/>
          </w:tcPr>
          <w:p w14:paraId="6D2B0C75" w14:textId="77777777" w:rsidR="00CB6B3E" w:rsidRDefault="00000000">
            <w:pPr>
              <w:pBdr>
                <w:top w:val="nil"/>
                <w:left w:val="nil"/>
                <w:bottom w:val="nil"/>
                <w:right w:val="nil"/>
                <w:between w:val="nil"/>
              </w:pBdr>
            </w:pPr>
            <w:r>
              <w:t>Centro Vulcanológico Nacional (CENVUL)</w:t>
            </w:r>
          </w:p>
        </w:tc>
      </w:tr>
      <w:tr w:rsidR="00CB6B3E" w14:paraId="1682D419" w14:textId="77777777">
        <w:tc>
          <w:tcPr>
            <w:tcW w:w="2972" w:type="dxa"/>
            <w:vAlign w:val="center"/>
          </w:tcPr>
          <w:p w14:paraId="6E0C637E" w14:textId="77777777" w:rsidR="00CB6B3E" w:rsidRDefault="00000000">
            <w:r>
              <w:rPr>
                <w:b/>
                <w:color w:val="000000"/>
                <w:sz w:val="20"/>
                <w:szCs w:val="20"/>
              </w:rPr>
              <w:t>Etiquetas</w:t>
            </w:r>
          </w:p>
        </w:tc>
        <w:tc>
          <w:tcPr>
            <w:tcW w:w="7484" w:type="dxa"/>
          </w:tcPr>
          <w:p w14:paraId="6C51BB14" w14:textId="77777777" w:rsidR="00CB6B3E" w:rsidRDefault="00000000">
            <w:pPr>
              <w:pBdr>
                <w:top w:val="nil"/>
                <w:left w:val="nil"/>
                <w:bottom w:val="nil"/>
                <w:right w:val="nil"/>
                <w:between w:val="nil"/>
              </w:pBdr>
            </w:pPr>
            <w:r>
              <w:t xml:space="preserve">Volcanes, deformación, Ubinas, </w:t>
            </w:r>
            <w:proofErr w:type="spellStart"/>
            <w:r>
              <w:t>Sabancaya</w:t>
            </w:r>
            <w:proofErr w:type="spellEnd"/>
            <w:r>
              <w:t>, GNSS</w:t>
            </w:r>
          </w:p>
        </w:tc>
      </w:tr>
      <w:tr w:rsidR="00CB6B3E" w14:paraId="2349C676" w14:textId="77777777">
        <w:trPr>
          <w:trHeight w:val="237"/>
        </w:trPr>
        <w:tc>
          <w:tcPr>
            <w:tcW w:w="2972" w:type="dxa"/>
            <w:vAlign w:val="center"/>
          </w:tcPr>
          <w:p w14:paraId="340F70DD" w14:textId="77777777" w:rsidR="00CB6B3E" w:rsidRDefault="00000000">
            <w:r>
              <w:rPr>
                <w:b/>
                <w:color w:val="000000"/>
                <w:sz w:val="20"/>
                <w:szCs w:val="20"/>
              </w:rPr>
              <w:t>Fecha de creación</w:t>
            </w:r>
          </w:p>
        </w:tc>
        <w:tc>
          <w:tcPr>
            <w:tcW w:w="7484" w:type="dxa"/>
          </w:tcPr>
          <w:p w14:paraId="4F69A773" w14:textId="5F1A920A" w:rsidR="00CB6B3E" w:rsidRDefault="008443B7">
            <w:pPr>
              <w:pBdr>
                <w:top w:val="nil"/>
                <w:left w:val="nil"/>
                <w:bottom w:val="nil"/>
                <w:right w:val="nil"/>
                <w:between w:val="nil"/>
              </w:pBdr>
            </w:pPr>
            <w:r>
              <w:t>2025-04-2</w:t>
            </w:r>
            <w:r w:rsidR="00BD19AD">
              <w:t>4</w:t>
            </w:r>
          </w:p>
        </w:tc>
      </w:tr>
      <w:tr w:rsidR="00CB6B3E" w14:paraId="5093DE80" w14:textId="77777777">
        <w:tc>
          <w:tcPr>
            <w:tcW w:w="2972" w:type="dxa"/>
            <w:vAlign w:val="center"/>
          </w:tcPr>
          <w:p w14:paraId="604F74FB" w14:textId="77777777" w:rsidR="00CB6B3E" w:rsidRDefault="00000000">
            <w:r>
              <w:rPr>
                <w:b/>
                <w:color w:val="000000"/>
                <w:sz w:val="20"/>
                <w:szCs w:val="20"/>
              </w:rPr>
              <w:t>Frecuencia de actualización</w:t>
            </w:r>
          </w:p>
        </w:tc>
        <w:tc>
          <w:tcPr>
            <w:tcW w:w="7484" w:type="dxa"/>
          </w:tcPr>
          <w:p w14:paraId="6347B266" w14:textId="77777777" w:rsidR="00CB6B3E" w:rsidRDefault="00000000">
            <w:pPr>
              <w:pBdr>
                <w:top w:val="nil"/>
                <w:left w:val="nil"/>
                <w:bottom w:val="nil"/>
                <w:right w:val="nil"/>
                <w:between w:val="nil"/>
              </w:pBdr>
            </w:pPr>
            <w:r>
              <w:t>Anual</w:t>
            </w:r>
          </w:p>
        </w:tc>
      </w:tr>
      <w:tr w:rsidR="008443B7" w14:paraId="04EFC3BA" w14:textId="77777777" w:rsidTr="0031566F">
        <w:tc>
          <w:tcPr>
            <w:tcW w:w="2972" w:type="dxa"/>
            <w:vAlign w:val="center"/>
          </w:tcPr>
          <w:p w14:paraId="53CBC079" w14:textId="77777777" w:rsidR="008443B7" w:rsidRDefault="008443B7" w:rsidP="008443B7">
            <w:r>
              <w:rPr>
                <w:b/>
                <w:color w:val="000000"/>
                <w:sz w:val="20"/>
                <w:szCs w:val="20"/>
              </w:rPr>
              <w:t>Última actualización</w:t>
            </w:r>
          </w:p>
        </w:tc>
        <w:tc>
          <w:tcPr>
            <w:tcW w:w="7484" w:type="dxa"/>
          </w:tcPr>
          <w:p w14:paraId="4AA3B1FB" w14:textId="49B3194D" w:rsidR="008443B7" w:rsidRDefault="008443B7" w:rsidP="008443B7">
            <w:pPr>
              <w:pBdr>
                <w:top w:val="nil"/>
                <w:left w:val="nil"/>
                <w:bottom w:val="nil"/>
                <w:right w:val="nil"/>
                <w:between w:val="nil"/>
              </w:pBdr>
            </w:pPr>
            <w:r>
              <w:t>2025-04-2</w:t>
            </w:r>
            <w:r w:rsidR="00BD19AD">
              <w:t>4</w:t>
            </w:r>
          </w:p>
        </w:tc>
      </w:tr>
      <w:tr w:rsidR="008443B7" w14:paraId="0BC17EFC" w14:textId="77777777">
        <w:tc>
          <w:tcPr>
            <w:tcW w:w="2972" w:type="dxa"/>
            <w:vAlign w:val="center"/>
          </w:tcPr>
          <w:p w14:paraId="7D346C5E" w14:textId="77777777" w:rsidR="008443B7" w:rsidRDefault="008443B7" w:rsidP="008443B7">
            <w:r>
              <w:rPr>
                <w:b/>
                <w:color w:val="000000"/>
                <w:sz w:val="20"/>
                <w:szCs w:val="20"/>
              </w:rPr>
              <w:t>Versión</w:t>
            </w:r>
          </w:p>
        </w:tc>
        <w:tc>
          <w:tcPr>
            <w:tcW w:w="7484" w:type="dxa"/>
            <w:vAlign w:val="center"/>
          </w:tcPr>
          <w:p w14:paraId="5F2E3C05" w14:textId="77777777" w:rsidR="008443B7" w:rsidRDefault="008443B7" w:rsidP="008443B7">
            <w:pPr>
              <w:pBdr>
                <w:top w:val="nil"/>
                <w:left w:val="nil"/>
                <w:bottom w:val="nil"/>
                <w:right w:val="nil"/>
                <w:between w:val="nil"/>
              </w:pBdr>
            </w:pPr>
            <w:r>
              <w:t>1.0</w:t>
            </w:r>
          </w:p>
        </w:tc>
      </w:tr>
      <w:tr w:rsidR="008443B7" w:rsidRPr="00BD19AD" w14:paraId="2C995C6B" w14:textId="77777777">
        <w:tc>
          <w:tcPr>
            <w:tcW w:w="2972" w:type="dxa"/>
            <w:vAlign w:val="center"/>
          </w:tcPr>
          <w:p w14:paraId="193143FE" w14:textId="77777777" w:rsidR="008443B7" w:rsidRDefault="008443B7" w:rsidP="008443B7">
            <w:r>
              <w:rPr>
                <w:b/>
                <w:color w:val="000000"/>
                <w:sz w:val="20"/>
                <w:szCs w:val="20"/>
              </w:rPr>
              <w:t>Licencia</w:t>
            </w:r>
          </w:p>
        </w:tc>
        <w:tc>
          <w:tcPr>
            <w:tcW w:w="7484" w:type="dxa"/>
            <w:vAlign w:val="center"/>
          </w:tcPr>
          <w:p w14:paraId="120A34D4" w14:textId="77777777" w:rsidR="008443B7" w:rsidRPr="008443B7" w:rsidRDefault="008443B7" w:rsidP="008443B7">
            <w:pPr>
              <w:pBdr>
                <w:top w:val="nil"/>
                <w:left w:val="nil"/>
                <w:bottom w:val="nil"/>
                <w:right w:val="nil"/>
                <w:between w:val="nil"/>
              </w:pBdr>
              <w:rPr>
                <w:lang w:val="en-US"/>
              </w:rPr>
            </w:pPr>
            <w:hyperlink r:id="rId4">
              <w:r w:rsidRPr="008443B7">
                <w:rPr>
                  <w:lang w:val="en-US"/>
                </w:rPr>
                <w:t>Open Data Commons Attribution License</w:t>
              </w:r>
            </w:hyperlink>
          </w:p>
        </w:tc>
      </w:tr>
      <w:tr w:rsidR="008443B7" w14:paraId="25FC29DC" w14:textId="77777777">
        <w:tc>
          <w:tcPr>
            <w:tcW w:w="2972" w:type="dxa"/>
            <w:vAlign w:val="center"/>
          </w:tcPr>
          <w:p w14:paraId="127B3F94" w14:textId="77777777" w:rsidR="008443B7" w:rsidRDefault="008443B7" w:rsidP="008443B7">
            <w:r>
              <w:rPr>
                <w:b/>
                <w:color w:val="000000"/>
                <w:sz w:val="20"/>
                <w:szCs w:val="20"/>
              </w:rPr>
              <w:t>Idioma</w:t>
            </w:r>
          </w:p>
        </w:tc>
        <w:tc>
          <w:tcPr>
            <w:tcW w:w="7484" w:type="dxa"/>
            <w:vAlign w:val="center"/>
          </w:tcPr>
          <w:p w14:paraId="1D42C7EA" w14:textId="77777777" w:rsidR="008443B7" w:rsidRDefault="008443B7" w:rsidP="008443B7">
            <w:pPr>
              <w:pBdr>
                <w:top w:val="nil"/>
                <w:left w:val="nil"/>
                <w:bottom w:val="nil"/>
                <w:right w:val="nil"/>
                <w:between w:val="nil"/>
              </w:pBdr>
            </w:pPr>
            <w:r>
              <w:t>Español</w:t>
            </w:r>
          </w:p>
        </w:tc>
      </w:tr>
      <w:tr w:rsidR="008443B7" w14:paraId="1C54B066" w14:textId="77777777">
        <w:tc>
          <w:tcPr>
            <w:tcW w:w="2972" w:type="dxa"/>
            <w:vAlign w:val="center"/>
          </w:tcPr>
          <w:p w14:paraId="55DEAC32" w14:textId="77777777" w:rsidR="008443B7" w:rsidRDefault="008443B7" w:rsidP="008443B7">
            <w:r>
              <w:rPr>
                <w:b/>
                <w:color w:val="000000"/>
                <w:sz w:val="20"/>
                <w:szCs w:val="20"/>
              </w:rPr>
              <w:t>Nivel de acceso público</w:t>
            </w:r>
          </w:p>
        </w:tc>
        <w:tc>
          <w:tcPr>
            <w:tcW w:w="7484" w:type="dxa"/>
            <w:vAlign w:val="center"/>
          </w:tcPr>
          <w:p w14:paraId="5A80DABF" w14:textId="77777777" w:rsidR="008443B7" w:rsidRDefault="008443B7" w:rsidP="008443B7">
            <w:pPr>
              <w:pBdr>
                <w:top w:val="nil"/>
                <w:left w:val="nil"/>
                <w:bottom w:val="nil"/>
                <w:right w:val="nil"/>
                <w:between w:val="nil"/>
              </w:pBdr>
            </w:pPr>
            <w:r>
              <w:t>Público</w:t>
            </w:r>
          </w:p>
        </w:tc>
      </w:tr>
      <w:tr w:rsidR="008443B7" w14:paraId="45F981E0" w14:textId="77777777">
        <w:tc>
          <w:tcPr>
            <w:tcW w:w="2972" w:type="dxa"/>
          </w:tcPr>
          <w:p w14:paraId="77FFF8D1" w14:textId="77777777" w:rsidR="008443B7" w:rsidRDefault="008443B7" w:rsidP="008443B7">
            <w:r>
              <w:rPr>
                <w:b/>
                <w:color w:val="000000"/>
                <w:sz w:val="20"/>
                <w:szCs w:val="20"/>
              </w:rPr>
              <w:t>Tipo de recurso</w:t>
            </w:r>
          </w:p>
        </w:tc>
        <w:tc>
          <w:tcPr>
            <w:tcW w:w="7484" w:type="dxa"/>
          </w:tcPr>
          <w:p w14:paraId="31F959DF" w14:textId="77777777" w:rsidR="008443B7" w:rsidRDefault="008443B7" w:rsidP="008443B7">
            <w:pPr>
              <w:pBdr>
                <w:top w:val="nil"/>
                <w:left w:val="nil"/>
                <w:bottom w:val="nil"/>
                <w:right w:val="nil"/>
                <w:between w:val="nil"/>
              </w:pBdr>
            </w:pPr>
            <w:proofErr w:type="spellStart"/>
            <w:r>
              <w:t>Dataset</w:t>
            </w:r>
            <w:proofErr w:type="spellEnd"/>
          </w:p>
        </w:tc>
      </w:tr>
      <w:tr w:rsidR="008443B7" w14:paraId="1B894BFA" w14:textId="77777777">
        <w:trPr>
          <w:trHeight w:val="320"/>
        </w:trPr>
        <w:tc>
          <w:tcPr>
            <w:tcW w:w="2972" w:type="dxa"/>
          </w:tcPr>
          <w:p w14:paraId="0FF83B41" w14:textId="77777777" w:rsidR="008443B7" w:rsidRDefault="008443B7" w:rsidP="008443B7">
            <w:pPr>
              <w:rPr>
                <w:b/>
              </w:rPr>
            </w:pPr>
            <w:r>
              <w:rPr>
                <w:b/>
              </w:rPr>
              <w:t>Formato</w:t>
            </w:r>
          </w:p>
        </w:tc>
        <w:tc>
          <w:tcPr>
            <w:tcW w:w="7484" w:type="dxa"/>
          </w:tcPr>
          <w:p w14:paraId="4105EE07" w14:textId="77777777" w:rsidR="008443B7" w:rsidRDefault="008443B7" w:rsidP="008443B7">
            <w:pPr>
              <w:pBdr>
                <w:top w:val="nil"/>
                <w:left w:val="nil"/>
                <w:bottom w:val="nil"/>
                <w:right w:val="nil"/>
                <w:between w:val="nil"/>
              </w:pBdr>
            </w:pPr>
            <w:r>
              <w:t>CSV</w:t>
            </w:r>
          </w:p>
        </w:tc>
      </w:tr>
      <w:tr w:rsidR="008443B7" w14:paraId="1A85FD43" w14:textId="77777777">
        <w:tc>
          <w:tcPr>
            <w:tcW w:w="2972" w:type="dxa"/>
          </w:tcPr>
          <w:p w14:paraId="7D346998" w14:textId="77777777" w:rsidR="008443B7" w:rsidRDefault="008443B7" w:rsidP="008443B7">
            <w:r>
              <w:rPr>
                <w:b/>
                <w:color w:val="000000"/>
                <w:sz w:val="20"/>
                <w:szCs w:val="20"/>
              </w:rPr>
              <w:t xml:space="preserve">Cobertura </w:t>
            </w:r>
          </w:p>
        </w:tc>
        <w:tc>
          <w:tcPr>
            <w:tcW w:w="7484" w:type="dxa"/>
          </w:tcPr>
          <w:p w14:paraId="5EC3D9C3" w14:textId="77777777" w:rsidR="008443B7" w:rsidRDefault="008443B7" w:rsidP="008443B7">
            <w:pPr>
              <w:pBdr>
                <w:top w:val="nil"/>
                <w:left w:val="nil"/>
                <w:bottom w:val="nil"/>
                <w:right w:val="nil"/>
                <w:between w:val="nil"/>
              </w:pBdr>
            </w:pPr>
            <w:r>
              <w:t>Perú, 2024</w:t>
            </w:r>
          </w:p>
        </w:tc>
      </w:tr>
      <w:tr w:rsidR="008443B7" w14:paraId="4A0EEC65" w14:textId="77777777">
        <w:tc>
          <w:tcPr>
            <w:tcW w:w="2972" w:type="dxa"/>
          </w:tcPr>
          <w:p w14:paraId="2151AAA4" w14:textId="77777777" w:rsidR="008443B7" w:rsidRDefault="008443B7" w:rsidP="008443B7">
            <w:pPr>
              <w:rPr>
                <w:b/>
              </w:rPr>
            </w:pPr>
            <w:r>
              <w:rPr>
                <w:b/>
              </w:rPr>
              <w:lastRenderedPageBreak/>
              <w:t>Correo de contacto</w:t>
            </w:r>
          </w:p>
        </w:tc>
        <w:tc>
          <w:tcPr>
            <w:tcW w:w="7484" w:type="dxa"/>
          </w:tcPr>
          <w:p w14:paraId="550C0B00" w14:textId="77777777" w:rsidR="008443B7" w:rsidRDefault="008443B7" w:rsidP="008443B7">
            <w:r>
              <w:t>otidg@igp.gob.pe</w:t>
            </w:r>
          </w:p>
        </w:tc>
      </w:tr>
    </w:tbl>
    <w:p w14:paraId="398FC006" w14:textId="77777777" w:rsidR="00CB6B3E" w:rsidRDefault="00CB6B3E">
      <w:bookmarkStart w:id="0" w:name="_3xn5m7mqojub" w:colFirst="0" w:colLast="0"/>
      <w:bookmarkEnd w:id="0"/>
    </w:p>
    <w:sectPr w:rsidR="00CB6B3E">
      <w:pgSz w:w="11906" w:h="16838"/>
      <w:pgMar w:top="720" w:right="720" w:bottom="567"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E"/>
    <w:rsid w:val="002257B4"/>
    <w:rsid w:val="002B0D88"/>
    <w:rsid w:val="008443B7"/>
    <w:rsid w:val="00BD19AD"/>
    <w:rsid w:val="00CB6B3E"/>
    <w:rsid w:val="00D13610"/>
    <w:rsid w:val="00FE0F7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CEA2"/>
  <w15:docId w15:val="{1B3CF3E2-AF05-41C0-9644-80AB9E9A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pendefinition.org/licenses/odc-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Wiliam Félix Guerrero</cp:lastModifiedBy>
  <cp:revision>5</cp:revision>
  <dcterms:created xsi:type="dcterms:W3CDTF">2025-04-23T16:47:00Z</dcterms:created>
  <dcterms:modified xsi:type="dcterms:W3CDTF">2025-04-24T14:23:00Z</dcterms:modified>
</cp:coreProperties>
</file>