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22E" w:rsidRDefault="00000000">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METADATOS</w:t>
      </w:r>
    </w:p>
    <w:p w:rsidR="007C622E" w:rsidRDefault="007C622E">
      <w:pPr>
        <w:rPr>
          <w:rFonts w:asciiTheme="majorHAnsi" w:hAnsiTheme="majorHAnsi" w:cstheme="majorHAnsi"/>
        </w:rPr>
      </w:pPr>
    </w:p>
    <w:p w:rsidR="007C622E" w:rsidRDefault="00000000">
      <w:pPr>
        <w:rPr>
          <w:rFonts w:asciiTheme="majorHAnsi" w:hAnsiTheme="majorHAnsi" w:cstheme="majorHAnsi"/>
          <w:lang w:val="es-ES"/>
        </w:rPr>
      </w:pPr>
      <w:r>
        <w:rPr>
          <w:rFonts w:asciiTheme="majorHAnsi" w:hAnsiTheme="majorHAnsi" w:cstheme="majorHAnsi"/>
        </w:rPr>
        <w:t xml:space="preserve">Metadatos del dataset: </w:t>
      </w:r>
      <w:r>
        <w:t xml:space="preserve"> Casos Fiscales [MPFN]</w:t>
      </w:r>
    </w:p>
    <w:p w:rsidR="007C622E" w:rsidRDefault="007C622E">
      <w:pPr>
        <w:rPr>
          <w:rFonts w:asciiTheme="majorHAnsi" w:hAnsiTheme="majorHAnsi" w:cstheme="majorHAnsi"/>
          <w:vanish/>
          <w:specVanish/>
        </w:rPr>
      </w:pPr>
    </w:p>
    <w:p w:rsidR="007C622E" w:rsidRDefault="00000000">
      <w:pPr>
        <w:rPr>
          <w:rFonts w:asciiTheme="majorHAnsi" w:hAnsiTheme="majorHAnsi" w:cstheme="majorHAnsi"/>
          <w:vanish/>
          <w:specVanish/>
        </w:rPr>
      </w:pPr>
      <w:r>
        <w:rPr>
          <w:rFonts w:asciiTheme="majorHAnsi" w:hAnsiTheme="majorHAnsi" w:cstheme="majorHAnsi"/>
        </w:rPr>
        <w:t xml:space="preserve"> </w:t>
      </w:r>
    </w:p>
    <w:p w:rsidR="007C622E" w:rsidRDefault="00000000">
      <w:pPr>
        <w:rPr>
          <w:rFonts w:asciiTheme="majorHAnsi" w:hAnsiTheme="majorHAnsi" w:cstheme="majorHAnsi"/>
        </w:rPr>
      </w:pPr>
      <w:r>
        <w:rPr>
          <w:rFonts w:asciiTheme="majorHAnsi" w:hAnsiTheme="majorHAnsi" w:cstheme="majorHAnsi"/>
        </w:rPr>
        <w:t xml:space="preserve"> </w:t>
      </w:r>
    </w:p>
    <w:tbl>
      <w:tblPr>
        <w:tblStyle w:val="Tablaconcuadrcula"/>
        <w:tblW w:w="5000" w:type="pct"/>
        <w:tblLook w:val="04A0" w:firstRow="1" w:lastRow="0" w:firstColumn="1" w:lastColumn="0" w:noHBand="0" w:noVBand="1"/>
      </w:tblPr>
      <w:tblGrid>
        <w:gridCol w:w="2405"/>
        <w:gridCol w:w="8051"/>
      </w:tblGrid>
      <w:tr w:rsidR="007C622E" w:rsidTr="00E46369">
        <w:trPr>
          <w:trHeight w:val="645"/>
        </w:trPr>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Título</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 xml:space="preserve">Cantidad de Casos fiscales ingresados y atendidos en el Ministerio Público a nivel nacional </w:t>
            </w:r>
          </w:p>
          <w:p w:rsidR="007C622E" w:rsidRDefault="007C622E">
            <w:pPr>
              <w:rPr>
                <w:rFonts w:asciiTheme="majorHAnsi" w:hAnsiTheme="majorHAnsi" w:cstheme="majorHAnsi"/>
                <w:sz w:val="10"/>
                <w:szCs w:val="10"/>
              </w:rPr>
            </w:pPr>
          </w:p>
        </w:tc>
      </w:tr>
      <w:tr w:rsidR="007C622E" w:rsidTr="00E46369">
        <w:trPr>
          <w:trHeight w:val="70"/>
        </w:trPr>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Título URL </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hyperlink r:id="rId5" w:history="1">
              <w:r>
                <w:rPr>
                  <w:rStyle w:val="Hipervnculo"/>
                  <w:rFonts w:asciiTheme="majorHAnsi" w:hAnsiTheme="majorHAnsi" w:cstheme="majorHAnsi"/>
                </w:rPr>
                <w:t>https://www.datosabiertos.gob.pe/dataset/mpfn-casos-fiscales</w:t>
              </w:r>
            </w:hyperlink>
          </w:p>
          <w:p w:rsidR="007C622E" w:rsidRDefault="007C622E">
            <w:pPr>
              <w:rPr>
                <w:rFonts w:asciiTheme="majorHAnsi" w:hAnsiTheme="majorHAnsi" w:cstheme="majorHAnsi"/>
                <w:sz w:val="10"/>
                <w:szCs w:val="10"/>
              </w:rPr>
            </w:pPr>
          </w:p>
        </w:tc>
      </w:tr>
      <w:tr w:rsidR="007C622E" w:rsidTr="00E46369">
        <w:trPr>
          <w:trHeight w:val="4080"/>
        </w:trPr>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Descripción</w:t>
            </w:r>
          </w:p>
        </w:tc>
        <w:tc>
          <w:tcPr>
            <w:tcW w:w="3850" w:type="pct"/>
          </w:tcPr>
          <w:p w:rsidR="007C622E" w:rsidRDefault="007C622E">
            <w:pPr>
              <w:rPr>
                <w:rFonts w:asciiTheme="majorHAnsi" w:hAnsiTheme="majorHAnsi" w:cstheme="majorHAnsi"/>
                <w:i/>
                <w:iCs/>
                <w:sz w:val="10"/>
                <w:szCs w:val="10"/>
              </w:rPr>
            </w:pPr>
          </w:p>
          <w:p w:rsidR="007C622E" w:rsidRDefault="00B4031E" w:rsidP="00E46369">
            <w:pPr>
              <w:jc w:val="both"/>
              <w:rPr>
                <w:rFonts w:asciiTheme="majorHAnsi" w:hAnsiTheme="majorHAnsi" w:cstheme="majorHAnsi"/>
                <w:i/>
                <w:iCs/>
              </w:rPr>
            </w:pPr>
            <w:r>
              <w:rPr>
                <w:rFonts w:asciiTheme="majorHAnsi" w:hAnsiTheme="majorHAnsi" w:cstheme="majorHAnsi"/>
                <w:i/>
                <w:iCs/>
              </w:rPr>
              <w:t>Archivos que</w:t>
            </w:r>
            <w:r w:rsidR="00AB43E1">
              <w:rPr>
                <w:rFonts w:asciiTheme="majorHAnsi" w:hAnsiTheme="majorHAnsi" w:cstheme="majorHAnsi"/>
                <w:i/>
                <w:iCs/>
              </w:rPr>
              <w:t xml:space="preserve"> contienen información sobre la cantidad de casos fiscales </w:t>
            </w:r>
            <w:r>
              <w:rPr>
                <w:rFonts w:asciiTheme="majorHAnsi" w:hAnsiTheme="majorHAnsi" w:cstheme="majorHAnsi"/>
                <w:i/>
                <w:iCs/>
              </w:rPr>
              <w:t>(</w:t>
            </w:r>
            <w:r w:rsidR="00AB43E1">
              <w:rPr>
                <w:rFonts w:asciiTheme="majorHAnsi" w:hAnsiTheme="majorHAnsi" w:cstheme="majorHAnsi"/>
                <w:i/>
                <w:iCs/>
              </w:rPr>
              <w:t>ingresados y atendidos</w:t>
            </w:r>
            <w:r>
              <w:rPr>
                <w:rFonts w:asciiTheme="majorHAnsi" w:hAnsiTheme="majorHAnsi" w:cstheme="majorHAnsi"/>
                <w:i/>
                <w:iCs/>
              </w:rPr>
              <w:t>)</w:t>
            </w:r>
            <w:r w:rsidR="00AB43E1">
              <w:rPr>
                <w:rFonts w:asciiTheme="majorHAnsi" w:hAnsiTheme="majorHAnsi" w:cstheme="majorHAnsi"/>
                <w:i/>
                <w:iCs/>
              </w:rPr>
              <w:t xml:space="preserve"> en el Ministerio Público a nivel nacional por año, según distrito fiscal, tipo de fiscalía (provincial, superior, suprema), materia (penal, civil, familia), especialidad (familia penal, familia tutelar, familia civil, actos contra la libertad sexual, civil, penal) y tipo de caso (denuncias, expedientes, investigaciones preventivas, apelaciones de denuncias, apelaciones de expedientes, consultas, exclusiones fiscales, quejas, etc.) </w:t>
            </w:r>
          </w:p>
          <w:p w:rsidR="00AB43E1" w:rsidRDefault="00AB43E1" w:rsidP="00E46369">
            <w:pPr>
              <w:jc w:val="both"/>
              <w:rPr>
                <w:rFonts w:asciiTheme="majorHAnsi" w:hAnsiTheme="majorHAnsi" w:cstheme="majorHAnsi"/>
                <w:i/>
                <w:iCs/>
              </w:rPr>
            </w:pPr>
          </w:p>
          <w:p w:rsidR="00E46369" w:rsidRPr="00E46369" w:rsidRDefault="00AB43E1" w:rsidP="00E46369">
            <w:pPr>
              <w:jc w:val="both"/>
              <w:rPr>
                <w:rFonts w:asciiTheme="majorHAnsi" w:hAnsiTheme="majorHAnsi" w:cstheme="majorHAnsi"/>
                <w:b/>
                <w:bCs/>
                <w:i/>
                <w:iCs/>
              </w:rPr>
            </w:pPr>
            <w:r w:rsidRPr="00E46369">
              <w:rPr>
                <w:rFonts w:asciiTheme="majorHAnsi" w:hAnsiTheme="majorHAnsi" w:cstheme="majorHAnsi"/>
                <w:b/>
                <w:bCs/>
                <w:i/>
                <w:iCs/>
              </w:rPr>
              <w:t>Definiciones:</w:t>
            </w:r>
            <w:r w:rsidRPr="00E46369">
              <w:rPr>
                <w:rFonts w:asciiTheme="majorHAnsi" w:hAnsiTheme="majorHAnsi" w:cstheme="majorHAnsi"/>
                <w:b/>
                <w:bCs/>
              </w:rPr>
              <w:br/>
            </w:r>
          </w:p>
          <w:p w:rsidR="00D86F1A" w:rsidRDefault="00E46369" w:rsidP="00E46369">
            <w:pPr>
              <w:jc w:val="both"/>
              <w:rPr>
                <w:rFonts w:asciiTheme="majorHAnsi" w:hAnsiTheme="majorHAnsi" w:cstheme="majorHAnsi"/>
                <w:i/>
                <w:iCs/>
              </w:rPr>
            </w:pPr>
            <w:r w:rsidRPr="00E46369">
              <w:rPr>
                <w:rFonts w:asciiTheme="majorHAnsi" w:hAnsiTheme="majorHAnsi" w:cstheme="majorHAnsi"/>
                <w:b/>
                <w:bCs/>
                <w:i/>
                <w:iCs/>
              </w:rPr>
              <w:t>Casos ingresados</w:t>
            </w:r>
            <w:r>
              <w:rPr>
                <w:rFonts w:asciiTheme="majorHAnsi" w:hAnsiTheme="majorHAnsi" w:cstheme="majorHAnsi"/>
                <w:i/>
                <w:iCs/>
              </w:rPr>
              <w:t xml:space="preserve">: </w:t>
            </w:r>
            <w:r w:rsidR="00D86F1A">
              <w:rPr>
                <w:rFonts w:asciiTheme="majorHAnsi" w:hAnsiTheme="majorHAnsi" w:cstheme="majorHAnsi"/>
                <w:i/>
                <w:iCs/>
              </w:rPr>
              <w:t xml:space="preserve">Son aquellos casos que ingresan al </w:t>
            </w:r>
            <w:r>
              <w:rPr>
                <w:rFonts w:asciiTheme="majorHAnsi" w:hAnsiTheme="majorHAnsi" w:cstheme="majorHAnsi"/>
                <w:i/>
                <w:iCs/>
              </w:rPr>
              <w:t>Ministerio Público</w:t>
            </w:r>
            <w:r w:rsidR="00D86F1A">
              <w:rPr>
                <w:rFonts w:asciiTheme="majorHAnsi" w:hAnsiTheme="majorHAnsi" w:cstheme="majorHAnsi"/>
                <w:i/>
                <w:iCs/>
              </w:rPr>
              <w:t xml:space="preserve">, a través de las </w:t>
            </w:r>
            <w:r>
              <w:rPr>
                <w:rFonts w:asciiTheme="majorHAnsi" w:hAnsiTheme="majorHAnsi" w:cstheme="majorHAnsi"/>
                <w:i/>
                <w:iCs/>
              </w:rPr>
              <w:t>fiscalías</w:t>
            </w:r>
            <w:r w:rsidR="00D86F1A">
              <w:rPr>
                <w:rFonts w:asciiTheme="majorHAnsi" w:hAnsiTheme="majorHAnsi" w:cstheme="majorHAnsi"/>
                <w:i/>
                <w:iCs/>
              </w:rPr>
              <w:t xml:space="preserve"> provinciales, superiores y supremas</w:t>
            </w:r>
            <w:r>
              <w:rPr>
                <w:rFonts w:asciiTheme="majorHAnsi" w:hAnsiTheme="majorHAnsi" w:cstheme="majorHAnsi"/>
                <w:i/>
                <w:iCs/>
              </w:rPr>
              <w:t>, y que</w:t>
            </w:r>
            <w:r w:rsidR="00D86F1A">
              <w:rPr>
                <w:rFonts w:asciiTheme="majorHAnsi" w:hAnsiTheme="majorHAnsi" w:cstheme="majorHAnsi"/>
                <w:i/>
                <w:iCs/>
              </w:rPr>
              <w:t xml:space="preserve"> se extraen de los </w:t>
            </w:r>
            <w:r>
              <w:rPr>
                <w:rFonts w:asciiTheme="majorHAnsi" w:hAnsiTheme="majorHAnsi" w:cstheme="majorHAnsi"/>
                <w:i/>
                <w:iCs/>
              </w:rPr>
              <w:t>sistemas informáticos</w:t>
            </w:r>
            <w:r w:rsidR="00D86F1A">
              <w:rPr>
                <w:rFonts w:asciiTheme="majorHAnsi" w:hAnsiTheme="majorHAnsi" w:cstheme="majorHAnsi"/>
                <w:i/>
                <w:iCs/>
              </w:rPr>
              <w:t xml:space="preserve"> del Ministerio </w:t>
            </w:r>
            <w:r>
              <w:rPr>
                <w:rFonts w:asciiTheme="majorHAnsi" w:hAnsiTheme="majorHAnsi" w:cstheme="majorHAnsi"/>
                <w:i/>
                <w:iCs/>
              </w:rPr>
              <w:t>público.</w:t>
            </w:r>
            <w:r w:rsidR="00D86F1A">
              <w:rPr>
                <w:rFonts w:asciiTheme="majorHAnsi" w:hAnsiTheme="majorHAnsi" w:cstheme="majorHAnsi"/>
                <w:i/>
                <w:iCs/>
              </w:rPr>
              <w:t xml:space="preserve">  </w:t>
            </w:r>
          </w:p>
          <w:p w:rsidR="00D86F1A" w:rsidRDefault="00D86F1A" w:rsidP="00E46369">
            <w:pPr>
              <w:jc w:val="both"/>
              <w:rPr>
                <w:rFonts w:asciiTheme="majorHAnsi" w:hAnsiTheme="majorHAnsi" w:cstheme="majorHAnsi"/>
                <w:i/>
                <w:iCs/>
              </w:rPr>
            </w:pPr>
          </w:p>
          <w:p w:rsidR="00D86F1A" w:rsidRDefault="00D86F1A" w:rsidP="00E46369">
            <w:pPr>
              <w:jc w:val="both"/>
              <w:rPr>
                <w:rFonts w:asciiTheme="majorHAnsi" w:hAnsiTheme="majorHAnsi" w:cstheme="majorHAnsi"/>
              </w:rPr>
            </w:pPr>
            <w:r w:rsidRPr="00E46369">
              <w:rPr>
                <w:rFonts w:asciiTheme="majorHAnsi" w:hAnsiTheme="majorHAnsi" w:cstheme="majorHAnsi"/>
                <w:b/>
                <w:bCs/>
                <w:i/>
                <w:iCs/>
              </w:rPr>
              <w:t>Casos atendidos:</w:t>
            </w:r>
            <w:r>
              <w:rPr>
                <w:rFonts w:asciiTheme="majorHAnsi" w:hAnsiTheme="majorHAnsi" w:cstheme="majorHAnsi"/>
                <w:i/>
                <w:iCs/>
              </w:rPr>
              <w:t xml:space="preserve"> </w:t>
            </w:r>
            <w:r w:rsidR="00E46369">
              <w:rPr>
                <w:rFonts w:asciiTheme="majorHAnsi" w:hAnsiTheme="majorHAnsi" w:cstheme="majorHAnsi"/>
                <w:i/>
                <w:iCs/>
              </w:rPr>
              <w:t xml:space="preserve">Son aquellos </w:t>
            </w:r>
            <w:r>
              <w:rPr>
                <w:rFonts w:asciiTheme="majorHAnsi" w:hAnsiTheme="majorHAnsi" w:cstheme="majorHAnsi"/>
                <w:i/>
                <w:iCs/>
              </w:rPr>
              <w:t xml:space="preserve">casos que han tenido </w:t>
            </w:r>
            <w:r w:rsidR="00E46369">
              <w:rPr>
                <w:rFonts w:asciiTheme="majorHAnsi" w:hAnsiTheme="majorHAnsi" w:cstheme="majorHAnsi"/>
                <w:i/>
                <w:iCs/>
              </w:rPr>
              <w:t>algún</w:t>
            </w:r>
            <w:r>
              <w:rPr>
                <w:rFonts w:asciiTheme="majorHAnsi" w:hAnsiTheme="majorHAnsi" w:cstheme="majorHAnsi"/>
                <w:i/>
                <w:iCs/>
              </w:rPr>
              <w:t xml:space="preserve"> movimiento procesal en los sistemas informáticos, que se encuentran en un estado diferente al pendiente</w:t>
            </w:r>
            <w:r w:rsidR="00E46369">
              <w:rPr>
                <w:rFonts w:asciiTheme="majorHAnsi" w:hAnsiTheme="majorHAnsi" w:cstheme="majorHAnsi"/>
                <w:i/>
                <w:iCs/>
              </w:rPr>
              <w:t>.</w:t>
            </w:r>
            <w:r>
              <w:rPr>
                <w:rFonts w:asciiTheme="majorHAnsi" w:hAnsiTheme="majorHAnsi" w:cstheme="majorHAnsi"/>
                <w:i/>
                <w:iCs/>
              </w:rPr>
              <w:t xml:space="preserve"> </w:t>
            </w:r>
          </w:p>
          <w:p w:rsidR="007C622E" w:rsidRDefault="007C622E">
            <w:pPr>
              <w:rPr>
                <w:rFonts w:asciiTheme="majorHAnsi" w:hAnsiTheme="majorHAnsi" w:cstheme="majorHAnsi"/>
                <w:sz w:val="10"/>
                <w:szCs w:val="10"/>
              </w:rPr>
            </w:pPr>
          </w:p>
        </w:tc>
      </w:tr>
      <w:tr w:rsidR="007C622E" w:rsidTr="00E46369">
        <w:trPr>
          <w:trHeight w:val="261"/>
        </w:trPr>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Entidad</w:t>
            </w:r>
          </w:p>
        </w:tc>
        <w:tc>
          <w:tcPr>
            <w:tcW w:w="3850" w:type="pct"/>
          </w:tcPr>
          <w:p w:rsidR="007C622E" w:rsidRDefault="007C622E">
            <w:pPr>
              <w:rPr>
                <w:rFonts w:asciiTheme="majorHAnsi" w:hAnsiTheme="majorHAnsi" w:cstheme="majorHAnsi"/>
                <w:sz w:val="10"/>
                <w:szCs w:val="10"/>
              </w:rPr>
            </w:pPr>
          </w:p>
          <w:p w:rsidR="007C622E" w:rsidRDefault="00000000">
            <w:r>
              <w:rPr>
                <w:rFonts w:asciiTheme="majorHAnsi" w:hAnsiTheme="majorHAnsi" w:cstheme="majorHAnsi"/>
              </w:rPr>
              <w:t xml:space="preserve">Ministerio Publico Fiscalía de la Nación - </w:t>
            </w:r>
            <w:r>
              <w:t>[MPFN]</w:t>
            </w:r>
          </w:p>
          <w:p w:rsidR="007C622E" w:rsidRDefault="007C622E">
            <w:pPr>
              <w:rPr>
                <w:rFonts w:asciiTheme="majorHAnsi" w:hAnsiTheme="majorHAnsi" w:cstheme="majorHAnsi"/>
                <w:sz w:val="10"/>
                <w:szCs w:val="10"/>
              </w:rPr>
            </w:pP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Fuente</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Oficina de Racionalización y Estadística – ORACE</w:t>
            </w:r>
          </w:p>
          <w:p w:rsidR="007C622E" w:rsidRDefault="007C622E">
            <w:pPr>
              <w:rPr>
                <w:rFonts w:asciiTheme="majorHAnsi" w:hAnsiTheme="majorHAnsi" w:cstheme="majorHAnsi"/>
              </w:rPr>
            </w:pPr>
          </w:p>
        </w:tc>
      </w:tr>
      <w:tr w:rsidR="007C622E" w:rsidTr="00E46369">
        <w:tc>
          <w:tcPr>
            <w:tcW w:w="1150" w:type="pct"/>
            <w:vAlign w:val="center"/>
          </w:tcPr>
          <w:p w:rsidR="007C622E" w:rsidRDefault="007C622E" w:rsidP="00E46369">
            <w:pPr>
              <w:rPr>
                <w:rFonts w:asciiTheme="majorHAnsi" w:hAnsiTheme="majorHAnsi" w:cstheme="majorHAnsi"/>
                <w:b/>
                <w:bCs/>
                <w:color w:val="000000" w:themeColor="text1"/>
                <w:kern w:val="24"/>
                <w:sz w:val="10"/>
                <w:szCs w:val="10"/>
              </w:rPr>
            </w:pPr>
          </w:p>
          <w:p w:rsidR="007C622E" w:rsidRDefault="00000000" w:rsidP="00E46369">
            <w:pPr>
              <w:rPr>
                <w:rFonts w:asciiTheme="majorHAnsi" w:hAnsiTheme="majorHAnsi" w:cstheme="majorHAnsi"/>
                <w:b/>
                <w:bCs/>
                <w:color w:val="000000" w:themeColor="text1"/>
                <w:kern w:val="24"/>
                <w:sz w:val="20"/>
                <w:szCs w:val="20"/>
              </w:rPr>
            </w:pPr>
            <w:r>
              <w:rPr>
                <w:rFonts w:asciiTheme="majorHAnsi" w:hAnsiTheme="majorHAnsi" w:cstheme="majorHAnsi"/>
                <w:b/>
                <w:bCs/>
                <w:color w:val="000000" w:themeColor="text1"/>
                <w:kern w:val="24"/>
                <w:sz w:val="20"/>
                <w:szCs w:val="20"/>
              </w:rPr>
              <w:t>Etiquetas</w:t>
            </w:r>
          </w:p>
          <w:p w:rsidR="007C622E" w:rsidRDefault="007C622E" w:rsidP="00E46369">
            <w:pPr>
              <w:rPr>
                <w:rFonts w:asciiTheme="majorHAnsi" w:hAnsiTheme="majorHAnsi" w:cstheme="majorHAnsi"/>
                <w:sz w:val="10"/>
                <w:szCs w:val="10"/>
              </w:rPr>
            </w:pPr>
          </w:p>
        </w:tc>
        <w:tc>
          <w:tcPr>
            <w:tcW w:w="3850" w:type="pct"/>
            <w:vAlign w:val="center"/>
          </w:tcPr>
          <w:p w:rsidR="007C622E" w:rsidRDefault="00E46369" w:rsidP="00E46369">
            <w:pPr>
              <w:rPr>
                <w:rFonts w:asciiTheme="majorHAnsi" w:hAnsiTheme="majorHAnsi" w:cstheme="majorHAnsi"/>
              </w:rPr>
            </w:pPr>
            <w:r>
              <w:rPr>
                <w:rFonts w:asciiTheme="majorHAnsi" w:hAnsiTheme="majorHAnsi" w:cstheme="majorHAnsi"/>
              </w:rPr>
              <w:t>Casos Fiscales</w:t>
            </w: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Fecha de creación</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2023-06-</w:t>
            </w:r>
            <w:r w:rsidR="004A1E68">
              <w:rPr>
                <w:rFonts w:asciiTheme="majorHAnsi" w:hAnsiTheme="majorHAnsi" w:cstheme="majorHAnsi"/>
              </w:rPr>
              <w:t>14</w:t>
            </w:r>
          </w:p>
          <w:p w:rsidR="007C622E" w:rsidRDefault="007C622E">
            <w:pPr>
              <w:rPr>
                <w:rFonts w:asciiTheme="majorHAnsi" w:hAnsiTheme="majorHAnsi" w:cstheme="majorHAnsi"/>
                <w:sz w:val="10"/>
                <w:szCs w:val="10"/>
              </w:rPr>
            </w:pP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Frecuencia de actualización</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Mensual</w:t>
            </w:r>
          </w:p>
          <w:p w:rsidR="007C622E" w:rsidRDefault="007C622E">
            <w:pPr>
              <w:rPr>
                <w:rFonts w:asciiTheme="majorHAnsi" w:hAnsiTheme="majorHAnsi" w:cstheme="majorHAnsi"/>
                <w:sz w:val="10"/>
                <w:szCs w:val="10"/>
              </w:rPr>
            </w:pP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Última actualización</w:t>
            </w:r>
          </w:p>
        </w:tc>
        <w:tc>
          <w:tcPr>
            <w:tcW w:w="3850" w:type="pct"/>
            <w:vAlign w:val="center"/>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2023-06-</w:t>
            </w:r>
            <w:r w:rsidR="004A1E68">
              <w:rPr>
                <w:rFonts w:asciiTheme="majorHAnsi" w:hAnsiTheme="majorHAnsi" w:cstheme="majorHAnsi"/>
              </w:rPr>
              <w:t>08</w:t>
            </w:r>
          </w:p>
          <w:p w:rsidR="007C622E" w:rsidRDefault="007C622E">
            <w:pPr>
              <w:rPr>
                <w:rFonts w:asciiTheme="majorHAnsi" w:hAnsiTheme="majorHAnsi" w:cstheme="majorHAnsi"/>
                <w:sz w:val="10"/>
                <w:szCs w:val="10"/>
              </w:rPr>
            </w:pP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Versión</w:t>
            </w:r>
          </w:p>
        </w:tc>
        <w:tc>
          <w:tcPr>
            <w:tcW w:w="3850" w:type="pct"/>
            <w:vAlign w:val="center"/>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1.0</w:t>
            </w:r>
          </w:p>
          <w:p w:rsidR="007C622E" w:rsidRDefault="007C622E">
            <w:pPr>
              <w:rPr>
                <w:rFonts w:asciiTheme="majorHAnsi" w:hAnsiTheme="majorHAnsi" w:cstheme="majorHAnsi"/>
                <w:sz w:val="10"/>
                <w:szCs w:val="10"/>
              </w:rPr>
            </w:pPr>
          </w:p>
        </w:tc>
      </w:tr>
      <w:tr w:rsidR="007C622E" w:rsidRPr="004A1E68" w:rsidTr="00E46369">
        <w:tc>
          <w:tcPr>
            <w:tcW w:w="1150" w:type="pct"/>
            <w:vAlign w:val="center"/>
          </w:tcPr>
          <w:p w:rsidR="007C622E" w:rsidRDefault="007C622E">
            <w:pPr>
              <w:rPr>
                <w:rFonts w:asciiTheme="majorHAnsi" w:hAnsiTheme="majorHAnsi" w:cstheme="majorHAnsi"/>
                <w:b/>
                <w:bCs/>
                <w:color w:val="000000" w:themeColor="text1"/>
                <w:kern w:val="24"/>
                <w:sz w:val="10"/>
                <w:szCs w:val="10"/>
                <w:lang w:val="es-MX"/>
              </w:rPr>
            </w:pPr>
          </w:p>
          <w:p w:rsidR="007C622E" w:rsidRDefault="00000000">
            <w:pPr>
              <w:rPr>
                <w:rFonts w:asciiTheme="majorHAnsi" w:hAnsiTheme="majorHAnsi" w:cstheme="majorHAnsi"/>
                <w:b/>
                <w:bCs/>
                <w:color w:val="000000" w:themeColor="text1"/>
                <w:kern w:val="24"/>
                <w:sz w:val="20"/>
                <w:szCs w:val="20"/>
                <w:lang w:val="es-MX"/>
              </w:rPr>
            </w:pPr>
            <w:r>
              <w:rPr>
                <w:rFonts w:asciiTheme="majorHAnsi" w:hAnsiTheme="majorHAnsi" w:cstheme="majorHAnsi"/>
                <w:b/>
                <w:bCs/>
                <w:color w:val="000000" w:themeColor="text1"/>
                <w:kern w:val="24"/>
                <w:sz w:val="20"/>
                <w:szCs w:val="20"/>
                <w:lang w:val="es-MX"/>
              </w:rPr>
              <w:t>Licencia</w:t>
            </w:r>
          </w:p>
          <w:p w:rsidR="007C622E" w:rsidRDefault="007C622E">
            <w:pPr>
              <w:rPr>
                <w:rFonts w:asciiTheme="majorHAnsi" w:hAnsiTheme="majorHAnsi" w:cstheme="majorHAnsi"/>
                <w:sz w:val="10"/>
                <w:szCs w:val="10"/>
              </w:rPr>
            </w:pPr>
          </w:p>
        </w:tc>
        <w:tc>
          <w:tcPr>
            <w:tcW w:w="3850" w:type="pct"/>
            <w:vAlign w:val="center"/>
          </w:tcPr>
          <w:p w:rsidR="007C622E" w:rsidRPr="005B1058" w:rsidRDefault="005B1058">
            <w:pPr>
              <w:rPr>
                <w:rFonts w:asciiTheme="majorHAnsi" w:hAnsiTheme="majorHAnsi" w:cstheme="majorHAnsi"/>
                <w:lang w:val="en-US"/>
              </w:rPr>
            </w:pPr>
            <w:r w:rsidRPr="005B1058">
              <w:rPr>
                <w:rFonts w:asciiTheme="majorHAnsi" w:hAnsiTheme="majorHAnsi" w:cstheme="majorHAnsi"/>
                <w:lang w:val="en-US"/>
              </w:rPr>
              <w:t>Open Data Commons Attribution License</w:t>
            </w: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Idioma</w:t>
            </w:r>
          </w:p>
        </w:tc>
        <w:tc>
          <w:tcPr>
            <w:tcW w:w="3850" w:type="pct"/>
            <w:vAlign w:val="center"/>
          </w:tcPr>
          <w:p w:rsidR="007C622E" w:rsidRDefault="007C622E">
            <w:pPr>
              <w:rPr>
                <w:rFonts w:asciiTheme="majorHAnsi" w:hAnsiTheme="majorHAnsi" w:cstheme="majorHAnsi"/>
                <w:color w:val="000000" w:themeColor="text1"/>
                <w:kern w:val="24"/>
                <w:sz w:val="10"/>
                <w:szCs w:val="10"/>
              </w:rPr>
            </w:pPr>
          </w:p>
          <w:p w:rsidR="007C622E" w:rsidRDefault="00000000">
            <w:pPr>
              <w:rPr>
                <w:rFonts w:asciiTheme="majorHAnsi" w:hAnsiTheme="majorHAnsi" w:cstheme="majorHAnsi"/>
                <w:color w:val="000000" w:themeColor="text1"/>
                <w:kern w:val="24"/>
              </w:rPr>
            </w:pPr>
            <w:r>
              <w:rPr>
                <w:rFonts w:asciiTheme="majorHAnsi" w:hAnsiTheme="majorHAnsi" w:cstheme="majorHAnsi"/>
                <w:color w:val="000000" w:themeColor="text1"/>
                <w:kern w:val="24"/>
              </w:rPr>
              <w:t>Español</w:t>
            </w:r>
          </w:p>
          <w:p w:rsidR="007C622E" w:rsidRDefault="007C622E">
            <w:pPr>
              <w:rPr>
                <w:rFonts w:asciiTheme="majorHAnsi" w:hAnsiTheme="majorHAnsi" w:cstheme="majorHAnsi"/>
                <w:sz w:val="10"/>
                <w:szCs w:val="10"/>
              </w:rPr>
            </w:pPr>
          </w:p>
        </w:tc>
      </w:tr>
      <w:tr w:rsidR="007C622E" w:rsidTr="00E46369">
        <w:tc>
          <w:tcPr>
            <w:tcW w:w="1150" w:type="pct"/>
            <w:vAlign w:val="center"/>
          </w:tcPr>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Nivel de acceso público</w:t>
            </w:r>
          </w:p>
        </w:tc>
        <w:tc>
          <w:tcPr>
            <w:tcW w:w="3850" w:type="pct"/>
            <w:vAlign w:val="center"/>
          </w:tcPr>
          <w:p w:rsidR="007C622E" w:rsidRDefault="007C622E">
            <w:pPr>
              <w:rPr>
                <w:rFonts w:asciiTheme="majorHAnsi" w:hAnsiTheme="majorHAnsi" w:cstheme="majorHAnsi"/>
                <w:color w:val="000000" w:themeColor="text1"/>
                <w:kern w:val="24"/>
                <w:sz w:val="10"/>
                <w:szCs w:val="10"/>
              </w:rPr>
            </w:pPr>
          </w:p>
          <w:p w:rsidR="007C622E" w:rsidRDefault="00000000">
            <w:pPr>
              <w:rPr>
                <w:rFonts w:asciiTheme="majorHAnsi" w:hAnsiTheme="majorHAnsi" w:cstheme="majorHAnsi"/>
                <w:color w:val="000000" w:themeColor="text1"/>
                <w:kern w:val="24"/>
              </w:rPr>
            </w:pPr>
            <w:r>
              <w:rPr>
                <w:rFonts w:asciiTheme="majorHAnsi" w:hAnsiTheme="majorHAnsi" w:cstheme="majorHAnsi"/>
                <w:color w:val="000000" w:themeColor="text1"/>
                <w:kern w:val="24"/>
              </w:rPr>
              <w:t>Público</w:t>
            </w:r>
          </w:p>
          <w:p w:rsidR="007C622E" w:rsidRDefault="007C622E">
            <w:pPr>
              <w:rPr>
                <w:rFonts w:asciiTheme="majorHAnsi" w:hAnsiTheme="majorHAnsi" w:cstheme="majorHAnsi"/>
                <w:sz w:val="10"/>
                <w:szCs w:val="10"/>
              </w:rPr>
            </w:pPr>
          </w:p>
        </w:tc>
      </w:tr>
      <w:tr w:rsidR="007C622E" w:rsidTr="00E46369">
        <w:tc>
          <w:tcPr>
            <w:tcW w:w="1150" w:type="pct"/>
          </w:tcPr>
          <w:p w:rsidR="007C622E" w:rsidRDefault="007C622E">
            <w:pPr>
              <w:rPr>
                <w:rFonts w:asciiTheme="majorHAnsi" w:hAnsiTheme="majorHAnsi" w:cstheme="majorHAnsi"/>
                <w:b/>
                <w:bCs/>
                <w:color w:val="000000" w:themeColor="text1"/>
                <w:kern w:val="24"/>
                <w:sz w:val="10"/>
                <w:szCs w:val="10"/>
                <w:lang w:val="es-MX"/>
              </w:rPr>
            </w:pPr>
          </w:p>
          <w:p w:rsidR="007C622E" w:rsidRDefault="00000000">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rPr>
            </w:pPr>
            <w:r>
              <w:rPr>
                <w:rFonts w:asciiTheme="majorHAnsi" w:hAnsiTheme="majorHAnsi" w:cstheme="majorHAnsi"/>
              </w:rPr>
              <w:t>Dataset</w:t>
            </w:r>
          </w:p>
          <w:p w:rsidR="007C622E" w:rsidRDefault="007C622E">
            <w:pPr>
              <w:rPr>
                <w:rFonts w:asciiTheme="majorHAnsi" w:hAnsiTheme="majorHAnsi" w:cstheme="majorHAnsi"/>
                <w:sz w:val="10"/>
                <w:szCs w:val="10"/>
              </w:rPr>
            </w:pPr>
          </w:p>
        </w:tc>
      </w:tr>
      <w:tr w:rsidR="007C622E" w:rsidTr="00E46369">
        <w:tc>
          <w:tcPr>
            <w:tcW w:w="1150" w:type="pct"/>
          </w:tcPr>
          <w:p w:rsidR="007C622E" w:rsidRDefault="007C622E">
            <w:pPr>
              <w:rPr>
                <w:rFonts w:asciiTheme="majorHAnsi" w:hAnsiTheme="majorHAnsi" w:cstheme="majorHAnsi"/>
                <w:b/>
                <w:bCs/>
                <w:sz w:val="10"/>
                <w:szCs w:val="10"/>
              </w:rPr>
            </w:pPr>
          </w:p>
          <w:p w:rsidR="007C622E" w:rsidRDefault="00000000">
            <w:pPr>
              <w:rPr>
                <w:rFonts w:asciiTheme="majorHAnsi" w:hAnsiTheme="majorHAnsi" w:cstheme="majorHAnsi"/>
                <w:b/>
                <w:bCs/>
                <w:sz w:val="20"/>
                <w:szCs w:val="20"/>
              </w:rPr>
            </w:pPr>
            <w:r>
              <w:rPr>
                <w:rFonts w:asciiTheme="majorHAnsi" w:hAnsiTheme="majorHAnsi" w:cstheme="majorHAnsi"/>
                <w:b/>
                <w:bCs/>
                <w:sz w:val="20"/>
                <w:szCs w:val="20"/>
              </w:rPr>
              <w:t>Formato</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sz w:val="20"/>
                <w:szCs w:val="20"/>
              </w:rPr>
            </w:pPr>
            <w:r>
              <w:rPr>
                <w:rFonts w:asciiTheme="majorHAnsi" w:hAnsiTheme="majorHAnsi" w:cstheme="majorHAnsi"/>
                <w:sz w:val="20"/>
                <w:szCs w:val="20"/>
              </w:rPr>
              <w:t>CSV</w:t>
            </w:r>
          </w:p>
          <w:p w:rsidR="007C622E" w:rsidRDefault="007C622E">
            <w:pPr>
              <w:rPr>
                <w:rFonts w:asciiTheme="majorHAnsi" w:hAnsiTheme="majorHAnsi" w:cstheme="majorHAnsi"/>
                <w:sz w:val="10"/>
                <w:szCs w:val="10"/>
              </w:rPr>
            </w:pPr>
          </w:p>
        </w:tc>
      </w:tr>
      <w:tr w:rsidR="007C622E" w:rsidTr="00E46369">
        <w:tc>
          <w:tcPr>
            <w:tcW w:w="1150" w:type="pct"/>
          </w:tcPr>
          <w:p w:rsidR="007C622E" w:rsidRDefault="007C622E">
            <w:pPr>
              <w:rPr>
                <w:rFonts w:asciiTheme="majorHAnsi" w:hAnsiTheme="majorHAnsi" w:cstheme="majorHAnsi"/>
                <w:b/>
                <w:bCs/>
                <w:color w:val="000000" w:themeColor="text1"/>
                <w:kern w:val="24"/>
                <w:sz w:val="10"/>
                <w:szCs w:val="10"/>
                <w:lang w:val="es-MX"/>
              </w:rPr>
            </w:pPr>
          </w:p>
          <w:p w:rsidR="007C622E" w:rsidRDefault="00000000">
            <w:pPr>
              <w:rPr>
                <w:rFonts w:asciiTheme="majorHAnsi" w:hAnsiTheme="majorHAnsi" w:cstheme="majorHAnsi"/>
                <w:sz w:val="20"/>
                <w:szCs w:val="20"/>
              </w:rPr>
            </w:pPr>
            <w:r>
              <w:rPr>
                <w:rFonts w:asciiTheme="majorHAnsi" w:hAnsiTheme="majorHAnsi" w:cstheme="majorHAnsi"/>
                <w:b/>
                <w:bCs/>
                <w:color w:val="000000" w:themeColor="text1"/>
                <w:kern w:val="24"/>
                <w:sz w:val="20"/>
                <w:szCs w:val="20"/>
                <w:lang w:val="es-MX"/>
              </w:rPr>
              <w:t xml:space="preserve">Cobertura </w:t>
            </w:r>
          </w:p>
        </w:tc>
        <w:tc>
          <w:tcPr>
            <w:tcW w:w="3850" w:type="pct"/>
          </w:tcPr>
          <w:p w:rsidR="007C622E" w:rsidRDefault="007C622E">
            <w:pPr>
              <w:rPr>
                <w:rFonts w:asciiTheme="majorHAnsi" w:hAnsiTheme="majorHAnsi" w:cstheme="majorHAnsi"/>
                <w:sz w:val="10"/>
                <w:szCs w:val="10"/>
              </w:rPr>
            </w:pPr>
          </w:p>
          <w:p w:rsidR="007C622E" w:rsidRDefault="00AB43E1">
            <w:pPr>
              <w:rPr>
                <w:rFonts w:asciiTheme="majorHAnsi" w:hAnsiTheme="majorHAnsi" w:cstheme="majorHAnsi"/>
                <w:sz w:val="10"/>
                <w:szCs w:val="10"/>
              </w:rPr>
            </w:pPr>
            <w:r w:rsidRPr="00AB43E1">
              <w:rPr>
                <w:rFonts w:asciiTheme="majorHAnsi" w:hAnsiTheme="majorHAnsi" w:cstheme="majorHAnsi"/>
                <w:sz w:val="20"/>
                <w:szCs w:val="20"/>
              </w:rPr>
              <w:t>Perú, 201</w:t>
            </w:r>
            <w:r>
              <w:rPr>
                <w:rFonts w:asciiTheme="majorHAnsi" w:hAnsiTheme="majorHAnsi" w:cstheme="majorHAnsi"/>
                <w:sz w:val="20"/>
                <w:szCs w:val="20"/>
              </w:rPr>
              <w:t>9</w:t>
            </w:r>
            <w:r w:rsidRPr="00AB43E1">
              <w:rPr>
                <w:rFonts w:asciiTheme="majorHAnsi" w:hAnsiTheme="majorHAnsi" w:cstheme="majorHAnsi"/>
                <w:sz w:val="20"/>
                <w:szCs w:val="20"/>
              </w:rPr>
              <w:t xml:space="preserve"> – 2023</w:t>
            </w:r>
          </w:p>
        </w:tc>
      </w:tr>
      <w:tr w:rsidR="007C622E" w:rsidTr="00E46369">
        <w:tc>
          <w:tcPr>
            <w:tcW w:w="1150" w:type="pct"/>
          </w:tcPr>
          <w:p w:rsidR="007C622E" w:rsidRDefault="007C622E">
            <w:pPr>
              <w:rPr>
                <w:rFonts w:asciiTheme="majorHAnsi" w:hAnsiTheme="majorHAnsi" w:cstheme="majorHAnsi"/>
                <w:b/>
                <w:bCs/>
                <w:sz w:val="10"/>
                <w:szCs w:val="10"/>
              </w:rPr>
            </w:pPr>
          </w:p>
          <w:p w:rsidR="007C622E" w:rsidRDefault="00000000">
            <w:pPr>
              <w:rPr>
                <w:rFonts w:asciiTheme="majorHAnsi" w:hAnsiTheme="majorHAnsi" w:cstheme="majorHAnsi"/>
                <w:b/>
                <w:bCs/>
                <w:sz w:val="20"/>
                <w:szCs w:val="20"/>
              </w:rPr>
            </w:pPr>
            <w:r>
              <w:rPr>
                <w:rFonts w:asciiTheme="majorHAnsi" w:hAnsiTheme="majorHAnsi" w:cstheme="majorHAnsi"/>
                <w:b/>
                <w:bCs/>
                <w:sz w:val="20"/>
                <w:szCs w:val="20"/>
              </w:rPr>
              <w:t>Correo de contacto</w:t>
            </w:r>
          </w:p>
        </w:tc>
        <w:tc>
          <w:tcPr>
            <w:tcW w:w="3850" w:type="pct"/>
          </w:tcPr>
          <w:p w:rsidR="007C622E" w:rsidRDefault="007C622E">
            <w:pPr>
              <w:rPr>
                <w:rFonts w:asciiTheme="majorHAnsi" w:hAnsiTheme="majorHAnsi" w:cstheme="majorHAnsi"/>
                <w:sz w:val="10"/>
                <w:szCs w:val="10"/>
              </w:rPr>
            </w:pPr>
          </w:p>
          <w:p w:rsidR="007C622E" w:rsidRDefault="00000000">
            <w:pPr>
              <w:rPr>
                <w:rFonts w:asciiTheme="majorHAnsi" w:hAnsiTheme="majorHAnsi" w:cstheme="majorHAnsi"/>
                <w:sz w:val="20"/>
                <w:szCs w:val="20"/>
              </w:rPr>
            </w:pPr>
            <w:hyperlink r:id="rId6" w:history="1">
              <w:r>
                <w:rPr>
                  <w:rStyle w:val="Hipervnculo"/>
                  <w:rFonts w:asciiTheme="majorHAnsi" w:hAnsiTheme="majorHAnsi" w:cstheme="majorHAnsi"/>
                  <w:sz w:val="20"/>
                  <w:szCs w:val="20"/>
                </w:rPr>
                <w:t>estadistica@mpfn.gob.pe</w:t>
              </w:r>
            </w:hyperlink>
          </w:p>
          <w:p w:rsidR="007C622E" w:rsidRDefault="007C622E">
            <w:pPr>
              <w:rPr>
                <w:rFonts w:asciiTheme="majorHAnsi" w:hAnsiTheme="majorHAnsi" w:cstheme="majorHAnsi"/>
                <w:sz w:val="10"/>
                <w:szCs w:val="10"/>
              </w:rPr>
            </w:pPr>
          </w:p>
        </w:tc>
      </w:tr>
    </w:tbl>
    <w:p w:rsidR="007C622E" w:rsidRDefault="007C622E">
      <w:pPr>
        <w:rPr>
          <w:rFonts w:asciiTheme="majorHAnsi" w:hAnsiTheme="majorHAnsi" w:cstheme="majorHAnsi"/>
          <w:sz w:val="20"/>
          <w:szCs w:val="20"/>
        </w:rPr>
      </w:pPr>
    </w:p>
    <w:sectPr w:rsidR="007C62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43666167">
    <w:abstractNumId w:val="4"/>
  </w:num>
  <w:num w:numId="2" w16cid:durableId="364136398">
    <w:abstractNumId w:val="2"/>
  </w:num>
  <w:num w:numId="3" w16cid:durableId="1533490602">
    <w:abstractNumId w:val="1"/>
  </w:num>
  <w:num w:numId="4" w16cid:durableId="1587492157">
    <w:abstractNumId w:val="0"/>
  </w:num>
  <w:num w:numId="5" w16cid:durableId="1589922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2E"/>
    <w:rsid w:val="003F6AC2"/>
    <w:rsid w:val="004A1E68"/>
    <w:rsid w:val="005B1058"/>
    <w:rsid w:val="007C622E"/>
    <w:rsid w:val="00AB43E1"/>
    <w:rsid w:val="00B4031E"/>
    <w:rsid w:val="00D86F1A"/>
    <w:rsid w:val="00E463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624C"/>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customStyle="1" w:styleId="Mencinsinresolver1">
    <w:name w:val="Mención sin resolver1"/>
    <w:basedOn w:val="Fuentedeprrafopredeter"/>
    <w:uiPriority w:val="99"/>
    <w:semiHidden/>
    <w:unhideWhenUsed/>
    <w:rPr>
      <w:color w:val="605E5C"/>
      <w:shd w:val="clear" w:color="auto" w:fill="E1DFDD"/>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s-PE"/>
    </w:rPr>
  </w:style>
  <w:style w:type="character" w:customStyle="1" w:styleId="fontstyle01">
    <w:name w:val="fontstyle01"/>
    <w:basedOn w:val="Fuentedeprrafopredeter"/>
    <w:rPr>
      <w:rFonts w:ascii="Arial" w:hAnsi="Arial" w:cs="Arial" w:hint="default"/>
      <w:b w:val="0"/>
      <w:bCs w:val="0"/>
      <w:i/>
      <w:iCs/>
      <w:color w:val="000000"/>
      <w:sz w:val="16"/>
      <w:szCs w:val="16"/>
    </w:rPr>
  </w:style>
  <w:style w:type="character" w:customStyle="1" w:styleId="fontstyle21">
    <w:name w:val="fontstyle21"/>
    <w:basedOn w:val="Fuentedeprrafopredeter"/>
    <w:rPr>
      <w:rFonts w:ascii="Wingdings" w:hAnsi="Wingdings" w:hint="default"/>
      <w:b w:val="0"/>
      <w:bCs w:val="0"/>
      <w:i w:val="0"/>
      <w:iCs w:val="0"/>
      <w:color w:val="000000"/>
      <w:sz w:val="16"/>
      <w:szCs w:val="16"/>
    </w:rPr>
  </w:style>
  <w:style w:type="character" w:customStyle="1" w:styleId="fontstyle31">
    <w:name w:val="fontstyle31"/>
    <w:basedOn w:val="Fuentedeprrafopredeter"/>
    <w:rPr>
      <w:rFonts w:ascii="Arial" w:hAnsi="Arial" w:cs="Arial"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6352">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12743781">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594439626">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adistica@mpfn.gob.pe" TargetMode="External"/><Relationship Id="rId5" Type="http://schemas.openxmlformats.org/officeDocument/2006/relationships/hyperlink" Target="https://www.datosabiertos.gob.pe/dataset/mpfn-casos-fisca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JJTF</cp:lastModifiedBy>
  <cp:revision>5</cp:revision>
  <dcterms:created xsi:type="dcterms:W3CDTF">2023-06-14T15:57:00Z</dcterms:created>
  <dcterms:modified xsi:type="dcterms:W3CDTF">2023-06-14T16:14:00Z</dcterms:modified>
</cp:coreProperties>
</file>